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cs="仿宋"/>
          <w:sz w:val="32"/>
          <w:szCs w:val="32"/>
        </w:rPr>
      </w:pPr>
      <w:r>
        <w:rPr>
          <w:rFonts w:hint="eastAsia" w:ascii="仿宋" w:hAnsi="仿宋" w:eastAsia="仿宋" w:cs="仿宋"/>
          <w:sz w:val="32"/>
          <w:szCs w:val="32"/>
        </w:rPr>
        <w:t>附件：</w:t>
      </w:r>
    </w:p>
    <w:p>
      <w:pPr>
        <w:jc w:val="center"/>
        <w:rPr>
          <w:rFonts w:hint="eastAsia" w:ascii="仿宋" w:hAnsi="仿宋" w:eastAsia="仿宋" w:cs="仿宋"/>
          <w:b/>
          <w:bCs/>
          <w:sz w:val="36"/>
          <w:szCs w:val="36"/>
        </w:rPr>
      </w:pPr>
      <w:r>
        <w:rPr>
          <w:rFonts w:hint="eastAsia" w:ascii="仿宋" w:hAnsi="仿宋" w:eastAsia="仿宋" w:cs="仿宋"/>
          <w:b/>
          <w:bCs/>
          <w:color w:val="auto"/>
          <w:sz w:val="36"/>
          <w:szCs w:val="36"/>
          <w:lang w:val="en-US" w:eastAsia="zh-CN"/>
        </w:rPr>
        <w:t>物业公司东平小学南侧板房地块资产报废项目</w:t>
      </w:r>
    </w:p>
    <w:p>
      <w:pPr>
        <w:jc w:val="center"/>
        <w:rPr>
          <w:rFonts w:ascii="仿宋" w:hAnsi="仿宋" w:eastAsia="仿宋" w:cs="仿宋"/>
          <w:b/>
          <w:bCs/>
          <w:sz w:val="40"/>
          <w:szCs w:val="40"/>
        </w:rPr>
      </w:pPr>
      <w:r>
        <w:rPr>
          <w:rFonts w:hint="eastAsia" w:ascii="仿宋" w:hAnsi="仿宋" w:eastAsia="仿宋" w:cs="仿宋"/>
          <w:b/>
          <w:bCs/>
          <w:sz w:val="36"/>
          <w:szCs w:val="36"/>
        </w:rPr>
        <w:t>报价表</w:t>
      </w:r>
    </w:p>
    <w:p>
      <w:pPr>
        <w:rPr>
          <w:rFonts w:hint="default" w:ascii="Times New Roman" w:hAnsi="Times New Roman" w:eastAsia="宋体" w:cs="Times New Roman"/>
          <w:sz w:val="28"/>
          <w:szCs w:val="28"/>
          <w:u w:val="none"/>
          <w:lang w:eastAsia="zh-CN"/>
        </w:rPr>
      </w:pPr>
    </w:p>
    <w:p>
      <w:pPr>
        <w:rPr>
          <w:rFonts w:hint="eastAsia" w:ascii="仿宋" w:hAnsi="仿宋" w:eastAsia="仿宋" w:cs="仿宋"/>
          <w:sz w:val="28"/>
          <w:szCs w:val="28"/>
          <w:u w:val="none"/>
        </w:rPr>
      </w:pPr>
      <w:r>
        <w:rPr>
          <w:rFonts w:hint="eastAsia" w:ascii="仿宋" w:hAnsi="仿宋" w:eastAsia="仿宋" w:cs="仿宋"/>
          <w:sz w:val="28"/>
          <w:szCs w:val="28"/>
          <w:u w:val="none"/>
          <w:lang w:eastAsia="zh-CN"/>
        </w:rPr>
        <w:t>佛山市新城物业发展有限公司</w:t>
      </w:r>
      <w:r>
        <w:rPr>
          <w:rFonts w:hint="eastAsia" w:ascii="仿宋" w:hAnsi="仿宋" w:eastAsia="仿宋" w:cs="仿宋"/>
          <w:sz w:val="28"/>
          <w:szCs w:val="28"/>
          <w:u w:val="none"/>
        </w:rPr>
        <w:t>：</w:t>
      </w:r>
    </w:p>
    <w:p>
      <w:pPr>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根据你方《</w:t>
      </w:r>
      <w:r>
        <w:rPr>
          <w:rFonts w:hint="eastAsia" w:ascii="仿宋" w:hAnsi="仿宋" w:eastAsia="仿宋" w:cs="仿宋"/>
          <w:b w:val="0"/>
          <w:bCs w:val="0"/>
          <w:sz w:val="28"/>
          <w:szCs w:val="28"/>
          <w:u w:val="none"/>
          <w:lang w:val="en-US" w:eastAsia="zh-CN"/>
        </w:rPr>
        <w:t>物业公司东平小学南侧板房地块资产报废项目</w:t>
      </w:r>
      <w:r>
        <w:rPr>
          <w:rFonts w:hint="eastAsia" w:ascii="仿宋" w:hAnsi="仿宋" w:eastAsia="仿宋" w:cs="仿宋"/>
          <w:sz w:val="28"/>
          <w:szCs w:val="28"/>
          <w:u w:val="none"/>
          <w:lang w:val="en-US" w:eastAsia="zh-CN"/>
        </w:rPr>
        <w:t>》的询价文件</w:t>
      </w:r>
      <w:r>
        <w:rPr>
          <w:rFonts w:hint="eastAsia" w:ascii="仿宋" w:hAnsi="仿宋" w:eastAsia="仿宋" w:cs="仿宋"/>
          <w:b w:val="0"/>
          <w:bCs w:val="0"/>
          <w:sz w:val="28"/>
          <w:szCs w:val="28"/>
          <w:u w:val="none"/>
          <w:lang w:val="en-US" w:eastAsia="zh-CN"/>
        </w:rPr>
        <w:t>，经踏勘项目现场和研究上述询价文件等有关文件后，我方作出如下报价：</w:t>
      </w:r>
    </w:p>
    <w:p>
      <w:pPr>
        <w:spacing w:line="360" w:lineRule="auto"/>
        <w:ind w:firstLine="560"/>
        <w:rPr>
          <w:rFonts w:hint="eastAsia" w:ascii="仿宋" w:hAnsi="仿宋" w:eastAsia="仿宋" w:cs="仿宋"/>
          <w:b/>
          <w:bCs/>
          <w:sz w:val="28"/>
          <w:szCs w:val="28"/>
          <w:lang w:val="en-US" w:eastAsia="zh-CN"/>
        </w:rPr>
      </w:pPr>
      <w:r>
        <w:rPr>
          <w:rFonts w:hint="eastAsia" w:ascii="仿宋" w:hAnsi="仿宋" w:eastAsia="仿宋" w:cs="仿宋"/>
          <w:b/>
          <w:bCs/>
          <w:sz w:val="28"/>
          <w:szCs w:val="28"/>
          <w:u w:val="none"/>
          <w:lang w:val="en-US" w:eastAsia="zh-CN"/>
        </w:rPr>
        <w:t>1、项目报价</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409"/>
        <w:gridCol w:w="1091"/>
        <w:gridCol w:w="2077"/>
        <w:gridCol w:w="868"/>
        <w:gridCol w:w="1033"/>
        <w:gridCol w:w="865"/>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75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建(构)筑物编号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结构</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项目概况</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层数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建筑高度（米)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活动板房2层，长20.5米、宽8米、高5.5米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活动板房2层，长18米、宽20米、高5.5米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厕所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混合结构</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混合结构1层，长8米、宽5米、高3米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保安室</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活动板房1层，长4米、宽3米、高2.8米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雨棚1</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塑料棚顶，长20米、宽4.8米、高3.5米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塑料棚顶，长5.6米、宽4.8米、高5米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彩钢棚顶，长20米、宽2米、高3.5米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塑料棚顶，长9米、宽2米、高2米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塑料棚顶，长5米、宽3米、高2.8米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塑料棚顶，长4.6米、宽2米、高2.8米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雨棚7</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雨棚</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塑料棚顶，长15米、宽2米、高</w:t>
            </w:r>
            <w:bookmarkStart w:id="0" w:name="_GoBack"/>
            <w:bookmarkEnd w:id="0"/>
            <w:r>
              <w:rPr>
                <w:rFonts w:hint="eastAsia" w:ascii="宋体" w:hAnsi="宋体" w:eastAsia="宋体" w:cs="宋体"/>
                <w:i w:val="0"/>
                <w:iCs w:val="0"/>
                <w:color w:val="000000"/>
                <w:kern w:val="0"/>
                <w:sz w:val="28"/>
                <w:szCs w:val="28"/>
                <w:u w:val="none"/>
                <w:lang w:val="en-US" w:eastAsia="zh-CN" w:bidi="ar"/>
              </w:rPr>
              <w:t>2米</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广告牌</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1002"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废铁</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吨</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30" w:hRule="atLeast"/>
        </w:trPr>
        <w:tc>
          <w:tcPr>
            <w:tcW w:w="347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含税总报价</w:t>
            </w:r>
          </w:p>
        </w:tc>
        <w:tc>
          <w:tcPr>
            <w:tcW w:w="15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1"/>
                <w:numId w:val="0"/>
              </w:numPr>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注：</w:t>
            </w:r>
          </w:p>
          <w:p>
            <w:pPr>
              <w:keepNext w:val="0"/>
              <w:keepLines w:val="0"/>
              <w:widowControl/>
              <w:numPr>
                <w:ilvl w:val="0"/>
                <w:numId w:val="1"/>
              </w:numPr>
              <w:suppressLineNumbers w:val="0"/>
              <w:ind w:firstLine="562" w:firstLineChars="200"/>
              <w:jc w:val="left"/>
              <w:textAlignment w:val="center"/>
              <w:rPr>
                <w:rFonts w:hint="eastAsia" w:ascii="宋体" w:hAnsi="宋体" w:cs="宋体"/>
                <w:b/>
                <w:bCs/>
                <w:color w:val="000000"/>
                <w:kern w:val="0"/>
                <w:sz w:val="28"/>
                <w:szCs w:val="28"/>
                <w:u w:val="none"/>
                <w:lang w:eastAsia="zh-CN" w:bidi="ar"/>
              </w:rPr>
            </w:pPr>
            <w:r>
              <w:rPr>
                <w:rFonts w:hint="eastAsia" w:ascii="宋体" w:hAnsi="宋体" w:cs="宋体"/>
                <w:b/>
                <w:bCs/>
                <w:i w:val="0"/>
                <w:iCs w:val="0"/>
                <w:color w:val="000000"/>
                <w:kern w:val="0"/>
                <w:sz w:val="28"/>
                <w:szCs w:val="28"/>
                <w:u w:val="none"/>
                <w:lang w:val="en-US" w:eastAsia="zh-CN" w:bidi="ar"/>
              </w:rPr>
              <w:t>该项目为固定</w:t>
            </w:r>
            <w:r>
              <w:rPr>
                <w:rFonts w:hint="eastAsia" w:ascii="宋体" w:hAnsi="宋体" w:eastAsia="宋体" w:cs="宋体"/>
                <w:b/>
                <w:bCs/>
                <w:color w:val="000000"/>
                <w:kern w:val="0"/>
                <w:sz w:val="28"/>
                <w:szCs w:val="28"/>
                <w:u w:val="none"/>
                <w:lang w:bidi="ar"/>
              </w:rPr>
              <w:t>总价包干，</w:t>
            </w:r>
            <w:r>
              <w:rPr>
                <w:rFonts w:hint="eastAsia" w:ascii="宋体" w:hAnsi="宋体" w:eastAsia="宋体" w:cs="宋体"/>
                <w:b/>
                <w:bCs/>
                <w:color w:val="000000"/>
                <w:kern w:val="0"/>
                <w:sz w:val="28"/>
                <w:szCs w:val="28"/>
                <w:u w:val="none"/>
                <w:lang w:eastAsia="zh-CN" w:bidi="ar"/>
              </w:rPr>
              <w:t>包含板房地块资产搬运及清理现场产生的可预见及不可预见的所有费用</w:t>
            </w:r>
            <w:r>
              <w:rPr>
                <w:rFonts w:hint="eastAsia" w:ascii="宋体" w:hAnsi="宋体" w:cs="宋体"/>
                <w:b/>
                <w:bCs/>
                <w:color w:val="000000"/>
                <w:kern w:val="0"/>
                <w:sz w:val="28"/>
                <w:szCs w:val="28"/>
                <w:u w:val="none"/>
                <w:lang w:eastAsia="zh-CN" w:bidi="ar"/>
              </w:rPr>
              <w:t>；</w:t>
            </w:r>
          </w:p>
          <w:p>
            <w:pPr>
              <w:keepNext w:val="0"/>
              <w:keepLines w:val="0"/>
              <w:widowControl/>
              <w:numPr>
                <w:ilvl w:val="0"/>
                <w:numId w:val="1"/>
              </w:numPr>
              <w:suppressLineNumbers w:val="0"/>
              <w:ind w:firstLine="562"/>
              <w:jc w:val="left"/>
              <w:textAlignment w:val="center"/>
              <w:rPr>
                <w:rFonts w:hint="eastAsia" w:ascii="宋体" w:hAnsi="宋体" w:cs="宋体"/>
                <w:b/>
                <w:bCs/>
                <w:color w:val="000000"/>
                <w:kern w:val="0"/>
                <w:sz w:val="28"/>
                <w:szCs w:val="28"/>
                <w:u w:val="none"/>
                <w:lang w:eastAsia="zh-CN" w:bidi="ar"/>
              </w:rPr>
            </w:pPr>
            <w:r>
              <w:rPr>
                <w:rFonts w:hint="eastAsia" w:ascii="宋体" w:hAnsi="宋体" w:eastAsia="宋体" w:cs="宋体"/>
                <w:b/>
                <w:bCs/>
                <w:i w:val="0"/>
                <w:caps w:val="0"/>
                <w:color w:val="000000"/>
                <w:spacing w:val="0"/>
                <w:kern w:val="0"/>
                <w:sz w:val="28"/>
                <w:szCs w:val="28"/>
                <w:u w:val="none"/>
                <w:lang w:val="en-US" w:eastAsia="zh-CN" w:bidi="ar"/>
              </w:rPr>
              <w:t>本项目需自</w:t>
            </w:r>
            <w:r>
              <w:rPr>
                <w:rFonts w:hint="eastAsia" w:ascii="宋体" w:hAnsi="宋体" w:cs="宋体"/>
                <w:b/>
                <w:bCs/>
                <w:color w:val="000000"/>
                <w:kern w:val="0"/>
                <w:sz w:val="28"/>
                <w:szCs w:val="28"/>
                <w:u w:val="none"/>
                <w:lang w:val="en-US" w:eastAsia="zh-CN" w:bidi="ar"/>
              </w:rPr>
              <w:t>佛山市新城物业发展有限公司</w:t>
            </w:r>
            <w:r>
              <w:rPr>
                <w:rFonts w:hint="eastAsia" w:ascii="宋体" w:hAnsi="宋体" w:eastAsia="宋体" w:cs="宋体"/>
                <w:b/>
                <w:bCs/>
                <w:i w:val="0"/>
                <w:caps w:val="0"/>
                <w:color w:val="000000"/>
                <w:spacing w:val="0"/>
                <w:kern w:val="0"/>
                <w:sz w:val="28"/>
                <w:szCs w:val="28"/>
                <w:u w:val="none"/>
                <w:lang w:val="en-US" w:eastAsia="zh-CN" w:bidi="ar"/>
              </w:rPr>
              <w:t>通知之日起5个日历天内完成</w:t>
            </w:r>
            <w:r>
              <w:rPr>
                <w:rFonts w:hint="eastAsia" w:ascii="宋体" w:hAnsi="宋体" w:cs="宋体"/>
                <w:b/>
                <w:bCs/>
                <w:i w:val="0"/>
                <w:caps w:val="0"/>
                <w:color w:val="000000"/>
                <w:spacing w:val="0"/>
                <w:kern w:val="0"/>
                <w:sz w:val="28"/>
                <w:szCs w:val="28"/>
                <w:u w:val="none"/>
                <w:lang w:val="en-US" w:eastAsia="zh-CN" w:bidi="ar"/>
              </w:rPr>
              <w:t>；</w:t>
            </w:r>
          </w:p>
          <w:p>
            <w:pPr>
              <w:keepNext w:val="0"/>
              <w:keepLines w:val="0"/>
              <w:widowControl/>
              <w:numPr>
                <w:ilvl w:val="0"/>
                <w:numId w:val="1"/>
              </w:numPr>
              <w:suppressLineNumbers w:val="0"/>
              <w:ind w:firstLine="562" w:firstLineChars="200"/>
              <w:jc w:val="left"/>
              <w:textAlignment w:val="center"/>
              <w:rPr>
                <w:rFonts w:hint="eastAsia" w:ascii="宋体" w:hAnsi="宋体" w:cs="宋体"/>
                <w:b/>
                <w:bCs/>
                <w:color w:val="000000"/>
                <w:kern w:val="0"/>
                <w:sz w:val="28"/>
                <w:szCs w:val="28"/>
                <w:u w:val="none"/>
                <w:lang w:val="en-US" w:eastAsia="zh-CN" w:bidi="ar"/>
              </w:rPr>
            </w:pPr>
            <w:r>
              <w:rPr>
                <w:rFonts w:hint="eastAsia" w:ascii="宋体" w:hAnsi="宋体" w:cs="宋体"/>
                <w:b/>
                <w:bCs/>
                <w:color w:val="000000"/>
                <w:kern w:val="0"/>
                <w:sz w:val="28"/>
                <w:szCs w:val="28"/>
                <w:u w:val="none"/>
                <w:lang w:val="en-US" w:eastAsia="zh-CN" w:bidi="ar"/>
              </w:rPr>
              <w:t>如果我方中选该项目，将按中选金额提供并完成本项目要求的所有服务内容，不能随意放弃中选资格。如无正当理由放弃中选资格，我方将自愿接受佛山市新城物业发展有限公司的处罚和处理（包括但不限于列入佛山市新城物业发展有限公司及相关单位的黑名单，一年内不得参加其投标或报价活动，并将相关情况抄送佛山市新城物业发展有限公司上级公司及主管部门等），并承担由此产生的一切后果；</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562" w:firstLineChars="200"/>
              <w:jc w:val="left"/>
              <w:textAlignment w:val="center"/>
              <w:outlineLvl w:val="9"/>
              <w:rPr>
                <w:rFonts w:hint="eastAsia" w:ascii="宋体" w:hAnsi="宋体" w:eastAsia="宋体" w:cs="宋体"/>
                <w:b/>
                <w:bCs/>
                <w:i w:val="0"/>
                <w:caps w:val="0"/>
                <w:color w:val="FF0000"/>
                <w:spacing w:val="0"/>
                <w:kern w:val="0"/>
                <w:sz w:val="28"/>
                <w:szCs w:val="28"/>
                <w:u w:val="none"/>
                <w:lang w:val="en-US" w:eastAsia="zh-CN" w:bidi="ar"/>
              </w:rPr>
            </w:pPr>
            <w:r>
              <w:rPr>
                <w:rFonts w:hint="eastAsia" w:ascii="宋体" w:hAnsi="宋体" w:cs="宋体"/>
                <w:b/>
                <w:bCs/>
                <w:color w:val="FF0000"/>
                <w:kern w:val="0"/>
                <w:sz w:val="28"/>
                <w:szCs w:val="28"/>
                <w:u w:val="none"/>
                <w:lang w:val="en-US" w:eastAsia="zh-CN" w:bidi="ar"/>
              </w:rPr>
              <w:t>该项目控制价为</w:t>
            </w:r>
            <w:r>
              <w:rPr>
                <w:rFonts w:hint="eastAsia" w:ascii="宋体" w:hAnsi="宋体" w:eastAsia="宋体" w:cs="宋体"/>
                <w:b/>
                <w:bCs/>
                <w:i w:val="0"/>
                <w:caps w:val="0"/>
                <w:color w:val="FF0000"/>
                <w:spacing w:val="0"/>
                <w:kern w:val="0"/>
                <w:sz w:val="28"/>
                <w:szCs w:val="28"/>
                <w:u w:val="none"/>
                <w:lang w:val="en-US" w:eastAsia="zh-CN" w:bidi="ar"/>
              </w:rPr>
              <w:t>¥30102.00元(含税）</w:t>
            </w:r>
            <w:r>
              <w:rPr>
                <w:rFonts w:hint="eastAsia" w:ascii="宋体" w:hAnsi="宋体" w:cs="宋体"/>
                <w:b/>
                <w:bCs/>
                <w:color w:val="FF0000"/>
                <w:kern w:val="0"/>
                <w:sz w:val="28"/>
                <w:szCs w:val="28"/>
                <w:u w:val="none"/>
                <w:lang w:val="en-US" w:eastAsia="zh-CN" w:bidi="ar"/>
              </w:rPr>
              <w:t>，报价不得低于项目控制价，否则视为无效报价；</w:t>
            </w:r>
          </w:p>
          <w:p>
            <w:pPr>
              <w:keepNext w:val="0"/>
              <w:keepLines w:val="0"/>
              <w:widowControl/>
              <w:numPr>
                <w:ilvl w:val="0"/>
                <w:numId w:val="1"/>
              </w:numPr>
              <w:suppressLineNumbers w:val="0"/>
              <w:ind w:firstLine="562" w:firstLineChars="200"/>
              <w:jc w:val="left"/>
              <w:textAlignment w:val="center"/>
              <w:rPr>
                <w:rFonts w:hint="default" w:ascii="宋体" w:hAnsi="宋体" w:cs="宋体"/>
                <w:b w:val="0"/>
                <w:bCs w:val="0"/>
                <w:color w:val="000000"/>
                <w:kern w:val="0"/>
                <w:sz w:val="28"/>
                <w:szCs w:val="28"/>
                <w:u w:val="none"/>
                <w:lang w:val="en-US" w:eastAsia="zh-CN" w:bidi="ar"/>
              </w:rPr>
            </w:pPr>
            <w:r>
              <w:rPr>
                <w:rFonts w:hint="eastAsia" w:ascii="宋体" w:hAnsi="宋体" w:cs="宋体"/>
                <w:b/>
                <w:bCs/>
                <w:color w:val="000000"/>
                <w:kern w:val="0"/>
                <w:sz w:val="28"/>
                <w:szCs w:val="28"/>
                <w:u w:val="none"/>
                <w:lang w:val="en-US" w:eastAsia="zh-CN" w:bidi="ar"/>
              </w:rPr>
              <w:t>该项目通过价格竞争方式选取中选单位，报价最高的为本项目中选人。如出现两个或两个以上相同的报价，则以随机抽取的办法确定中选单位；若中选单位放弃中选资格或拒绝与佛山市新城物业发展有限公司签订合同的，我司可依据报价由高到低的排序，确定报价次高的报价人为中选单位。</w:t>
            </w:r>
          </w:p>
        </w:tc>
      </w:tr>
    </w:tbl>
    <w:p>
      <w:pPr>
        <w:ind w:firstLine="560"/>
        <w:rPr>
          <w:rFonts w:ascii="仿宋" w:hAnsi="仿宋" w:eastAsia="仿宋" w:cs="仿宋"/>
          <w:sz w:val="28"/>
          <w:szCs w:val="28"/>
        </w:rPr>
      </w:pPr>
      <w:r>
        <w:rPr>
          <w:rFonts w:hint="eastAsia" w:ascii="仿宋" w:hAnsi="仿宋" w:eastAsia="仿宋" w:cs="仿宋"/>
          <w:sz w:val="28"/>
          <w:szCs w:val="28"/>
        </w:rPr>
        <w:t>2、其他后附资料：营业执照</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必须提供</w:t>
      </w:r>
      <w:r>
        <w:rPr>
          <w:rFonts w:hint="eastAsia" w:ascii="仿宋" w:hAnsi="仿宋" w:eastAsia="仿宋" w:cs="仿宋"/>
          <w:b/>
          <w:bCs/>
          <w:color w:val="FF0000"/>
          <w:sz w:val="28"/>
          <w:szCs w:val="28"/>
          <w:lang w:eastAsia="zh-CN"/>
        </w:rPr>
        <w:t>）</w:t>
      </w:r>
      <w:r>
        <w:rPr>
          <w:rFonts w:hint="eastAsia" w:ascii="仿宋" w:hAnsi="仿宋" w:eastAsia="仿宋" w:cs="仿宋"/>
          <w:sz w:val="28"/>
          <w:szCs w:val="28"/>
        </w:rPr>
        <w:t>、公司简介</w:t>
      </w:r>
      <w:r>
        <w:rPr>
          <w:rFonts w:hint="eastAsia" w:ascii="仿宋" w:hAnsi="仿宋" w:eastAsia="仿宋" w:cs="仿宋"/>
          <w:sz w:val="28"/>
          <w:szCs w:val="28"/>
          <w:lang w:eastAsia="zh-CN"/>
        </w:rPr>
        <w:t>等</w:t>
      </w:r>
    </w:p>
    <w:p>
      <w:pPr>
        <w:ind w:firstLine="560"/>
        <w:rPr>
          <w:rFonts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 xml:space="preserve">                                          报价人：XXXX（盖章）</w:t>
      </w:r>
    </w:p>
    <w:p>
      <w:pPr>
        <w:pStyle w:val="2"/>
        <w:ind w:firstLine="5958" w:firstLineChars="2128"/>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联系人：</w:t>
      </w:r>
    </w:p>
    <w:p>
      <w:pPr>
        <w:pStyle w:val="2"/>
        <w:ind w:firstLine="5958" w:firstLineChars="2128"/>
        <w:jc w:val="left"/>
        <w:rPr>
          <w:rFonts w:hint="default" w:ascii="仿宋" w:hAnsi="仿宋" w:eastAsia="仿宋" w:cs="仿宋"/>
          <w:b w:val="0"/>
          <w:bCs w:val="0"/>
          <w:sz w:val="28"/>
          <w:szCs w:val="28"/>
        </w:rPr>
      </w:pPr>
      <w:r>
        <w:rPr>
          <w:rFonts w:hint="eastAsia" w:ascii="仿宋" w:hAnsi="仿宋" w:eastAsia="仿宋" w:cs="仿宋"/>
          <w:b w:val="0"/>
          <w:bCs w:val="0"/>
          <w:sz w:val="28"/>
          <w:szCs w:val="28"/>
          <w:lang w:val="en-US" w:eastAsia="zh-CN"/>
        </w:rPr>
        <w:t>联系电话：</w:t>
      </w:r>
    </w:p>
    <w:p>
      <w:pPr>
        <w:rPr>
          <w:sz w:val="28"/>
          <w:szCs w:val="28"/>
        </w:rPr>
      </w:pPr>
      <w:r>
        <w:rPr>
          <w:rFonts w:hint="eastAsia" w:ascii="仿宋" w:hAnsi="仿宋" w:eastAsia="仿宋" w:cs="仿宋"/>
          <w:sz w:val="28"/>
          <w:szCs w:val="28"/>
        </w:rPr>
        <w:t xml:space="preserve">                                          日期：  年  月  日</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7A"/>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7B7BF"/>
    <w:multiLevelType w:val="singleLevel"/>
    <w:tmpl w:val="1207B7B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NTFlYTZhNzRkZWNhM2JmZDExOTk5YmJhYzQ4MmEifQ=="/>
  </w:docVars>
  <w:rsids>
    <w:rsidRoot w:val="00077F79"/>
    <w:rsid w:val="00077F79"/>
    <w:rsid w:val="00193A3B"/>
    <w:rsid w:val="001B66E1"/>
    <w:rsid w:val="003B2787"/>
    <w:rsid w:val="003E0E90"/>
    <w:rsid w:val="003E66B3"/>
    <w:rsid w:val="004927C3"/>
    <w:rsid w:val="00575871"/>
    <w:rsid w:val="006A73C9"/>
    <w:rsid w:val="00794F7B"/>
    <w:rsid w:val="00985953"/>
    <w:rsid w:val="009C6BFB"/>
    <w:rsid w:val="009D23F5"/>
    <w:rsid w:val="009F0C0F"/>
    <w:rsid w:val="00A358D6"/>
    <w:rsid w:val="00E0006E"/>
    <w:rsid w:val="053622D0"/>
    <w:rsid w:val="06B444AC"/>
    <w:rsid w:val="07DD06DB"/>
    <w:rsid w:val="0A8B0420"/>
    <w:rsid w:val="0E02695A"/>
    <w:rsid w:val="0E137014"/>
    <w:rsid w:val="10BF4DE2"/>
    <w:rsid w:val="10C45FA3"/>
    <w:rsid w:val="113D3CE4"/>
    <w:rsid w:val="13E0137B"/>
    <w:rsid w:val="14D02C83"/>
    <w:rsid w:val="15083B17"/>
    <w:rsid w:val="15911C2C"/>
    <w:rsid w:val="15D12754"/>
    <w:rsid w:val="17345D2B"/>
    <w:rsid w:val="180A0F27"/>
    <w:rsid w:val="19302F05"/>
    <w:rsid w:val="19F618D7"/>
    <w:rsid w:val="1E8C7705"/>
    <w:rsid w:val="1F5C51F2"/>
    <w:rsid w:val="206A2587"/>
    <w:rsid w:val="21217485"/>
    <w:rsid w:val="224458C1"/>
    <w:rsid w:val="231133A8"/>
    <w:rsid w:val="237A10D0"/>
    <w:rsid w:val="238F04F9"/>
    <w:rsid w:val="23B4053D"/>
    <w:rsid w:val="24EE319A"/>
    <w:rsid w:val="256463BE"/>
    <w:rsid w:val="270E62DF"/>
    <w:rsid w:val="2C0702B0"/>
    <w:rsid w:val="2D6D2063"/>
    <w:rsid w:val="2F732653"/>
    <w:rsid w:val="313D4527"/>
    <w:rsid w:val="32DF197D"/>
    <w:rsid w:val="33121D46"/>
    <w:rsid w:val="35AD06EC"/>
    <w:rsid w:val="364E24FC"/>
    <w:rsid w:val="370355F1"/>
    <w:rsid w:val="379521A5"/>
    <w:rsid w:val="38C35CAE"/>
    <w:rsid w:val="38DB61BE"/>
    <w:rsid w:val="38DB6854"/>
    <w:rsid w:val="39D82029"/>
    <w:rsid w:val="3C1F0718"/>
    <w:rsid w:val="3C29005A"/>
    <w:rsid w:val="3D0D5EBA"/>
    <w:rsid w:val="3F0029D1"/>
    <w:rsid w:val="3F6A406B"/>
    <w:rsid w:val="3FFC3C69"/>
    <w:rsid w:val="40D76A9E"/>
    <w:rsid w:val="410F6A41"/>
    <w:rsid w:val="418560FB"/>
    <w:rsid w:val="44CC6046"/>
    <w:rsid w:val="46974A9C"/>
    <w:rsid w:val="471401C2"/>
    <w:rsid w:val="47826D6C"/>
    <w:rsid w:val="47C47A9B"/>
    <w:rsid w:val="485F3BA7"/>
    <w:rsid w:val="48D72771"/>
    <w:rsid w:val="49450D56"/>
    <w:rsid w:val="4A645135"/>
    <w:rsid w:val="4B1C12B4"/>
    <w:rsid w:val="4BE625FB"/>
    <w:rsid w:val="4BFA48FF"/>
    <w:rsid w:val="4D3A06AA"/>
    <w:rsid w:val="4D5E43C8"/>
    <w:rsid w:val="4EBF373F"/>
    <w:rsid w:val="4ED20572"/>
    <w:rsid w:val="51FE3331"/>
    <w:rsid w:val="55683142"/>
    <w:rsid w:val="55CE1080"/>
    <w:rsid w:val="56ED56BF"/>
    <w:rsid w:val="5925255E"/>
    <w:rsid w:val="599524C1"/>
    <w:rsid w:val="5B3A0733"/>
    <w:rsid w:val="5BE20D87"/>
    <w:rsid w:val="5E0C4813"/>
    <w:rsid w:val="5E5F01F9"/>
    <w:rsid w:val="5F59699C"/>
    <w:rsid w:val="60592862"/>
    <w:rsid w:val="61930DA7"/>
    <w:rsid w:val="63EB087D"/>
    <w:rsid w:val="63EF428E"/>
    <w:rsid w:val="657B53EA"/>
    <w:rsid w:val="66F87C9C"/>
    <w:rsid w:val="68961421"/>
    <w:rsid w:val="69D3183D"/>
    <w:rsid w:val="6E3F705A"/>
    <w:rsid w:val="70835FC4"/>
    <w:rsid w:val="71577125"/>
    <w:rsid w:val="73FA1163"/>
    <w:rsid w:val="74414BDA"/>
    <w:rsid w:val="74A225FB"/>
    <w:rsid w:val="75CB06B8"/>
    <w:rsid w:val="76D32525"/>
    <w:rsid w:val="77700F91"/>
    <w:rsid w:val="781F2E78"/>
    <w:rsid w:val="7A084B7A"/>
    <w:rsid w:val="7BF65F2C"/>
    <w:rsid w:val="7CF01DC2"/>
    <w:rsid w:val="7E065362"/>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autoSpaceDE w:val="0"/>
      <w:autoSpaceDN w:val="0"/>
      <w:adjustRightInd w:val="0"/>
      <w:jc w:val="center"/>
      <w:textAlignment w:val="baseline"/>
    </w:pPr>
    <w:rPr>
      <w:rFonts w:ascii="宋体"/>
      <w:kern w:val="0"/>
      <w:sz w:val="32"/>
      <w:szCs w:val="20"/>
    </w:rPr>
  </w:style>
  <w:style w:type="paragraph" w:styleId="4">
    <w:name w:val="Body Text 2"/>
    <w:basedOn w:val="1"/>
    <w:autoRedefine/>
    <w:qFormat/>
    <w:uiPriority w:val="0"/>
    <w:pPr>
      <w:jc w:val="center"/>
    </w:pPr>
    <w:rPr>
      <w:rFonts w:ascii="宋体" w:hAnsi="宋体"/>
      <w:b/>
      <w:szCs w:val="21"/>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autoRedefine/>
    <w:qFormat/>
    <w:uiPriority w:val="0"/>
    <w:pPr>
      <w:adjustRightInd w:val="0"/>
      <w:ind w:right="51" w:firstLine="420"/>
      <w:jc w:val="left"/>
      <w:textAlignment w:val="baseline"/>
    </w:pPr>
    <w:rPr>
      <w:spacing w:val="20"/>
      <w:kern w:val="0"/>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autoRedefine/>
    <w:qFormat/>
    <w:uiPriority w:val="0"/>
    <w:rPr>
      <w:kern w:val="2"/>
      <w:sz w:val="18"/>
      <w:szCs w:val="18"/>
    </w:rPr>
  </w:style>
  <w:style w:type="character" w:customStyle="1" w:styleId="13">
    <w:name w:val="页脚 字符"/>
    <w:basedOn w:val="11"/>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665</Words>
  <Characters>695</Characters>
  <Lines>7</Lines>
  <Paragraphs>2</Paragraphs>
  <TotalTime>0</TotalTime>
  <ScaleCrop>false</ScaleCrop>
  <LinksUpToDate>false</LinksUpToDate>
  <CharactersWithSpaces>1773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2022-07-25T08:12:00Z</dcterms:created>
  <dc:creator>温仪和</dc:creator>
  <cp:lastModifiedBy>CHIHSEI</cp:lastModifiedBy>
  <cp:lastPrinted>2024-01-05T02:01:00Z</cp:lastPrinted>
  <dcterms:modified xsi:type="dcterms:W3CDTF">2024-01-08T03:43:07Z</dcterms:modified>
  <dc:title>关于广东顺铁控股有限公司股权收购项目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B737F2CA03EE422B982AA5170D8A6B96</vt:lpwstr>
  </property>
</Properties>
</file>