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right="0" w:rightChars="0"/>
        <w:jc w:val="both"/>
        <w:rPr>
          <w:rFonts w:hint="default" w:ascii="方正小标宋简体" w:hAnsi="方正小标宋简体" w:eastAsia="方正小标宋简体" w:cs="方正小标宋简体"/>
          <w:i w:val="0"/>
          <w:caps w:val="0"/>
          <w:color w:val="auto"/>
          <w:spacing w:val="0"/>
          <w:sz w:val="36"/>
          <w:szCs w:val="36"/>
          <w:highlight w:val="none"/>
          <w:u w:val="none"/>
          <w:shd w:val="clear"/>
          <w:lang w:val="en-US" w:eastAsia="zh-CN"/>
        </w:rPr>
      </w:pPr>
      <w:r>
        <w:rPr>
          <w:rFonts w:hint="eastAsia" w:ascii="方正小标宋简体" w:hAnsi="方正小标宋简体" w:eastAsia="方正小标宋简体" w:cs="方正小标宋简体"/>
          <w:i w:val="0"/>
          <w:caps w:val="0"/>
          <w:color w:val="auto"/>
          <w:spacing w:val="0"/>
          <w:sz w:val="36"/>
          <w:szCs w:val="36"/>
          <w:highlight w:val="none"/>
          <w:u w:val="none"/>
          <w:shd w:val="clear"/>
          <w:lang w:val="en-US" w:eastAsia="zh-CN"/>
        </w:rPr>
        <w:t>附件1：</w:t>
      </w:r>
    </w:p>
    <w:p>
      <w:pPr>
        <w:pStyle w:val="3"/>
        <w:ind w:right="0" w:rightChars="0"/>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2024年</w:t>
      </w:r>
      <w:r>
        <w:rPr>
          <w:rFonts w:hint="eastAsia" w:ascii="方正小标宋简体" w:hAnsi="方正小标宋简体" w:eastAsia="方正小标宋简体" w:cs="方正小标宋简体"/>
          <w:color w:val="auto"/>
          <w:sz w:val="36"/>
          <w:szCs w:val="36"/>
          <w:highlight w:val="none"/>
          <w:lang w:val="en-GB" w:eastAsia="zh-CN"/>
        </w:rPr>
        <w:t>新城开发公司</w:t>
      </w:r>
      <w:r>
        <w:rPr>
          <w:rFonts w:hint="eastAsia" w:ascii="方正小标宋简体" w:hAnsi="方正小标宋简体" w:eastAsia="方正小标宋简体" w:cs="方正小标宋简体"/>
          <w:color w:val="auto"/>
          <w:sz w:val="36"/>
          <w:szCs w:val="36"/>
          <w:highlight w:val="none"/>
          <w:lang w:val="en-US" w:eastAsia="zh-CN"/>
        </w:rPr>
        <w:t>商业电量采购项目</w:t>
      </w:r>
    </w:p>
    <w:p>
      <w:pPr>
        <w:pStyle w:val="3"/>
        <w:ind w:right="0" w:rightChars="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rPr>
        <w:t>报价邀请函</w:t>
      </w:r>
      <w:r>
        <w:rPr>
          <w:rFonts w:hint="eastAsia" w:ascii="方正小标宋简体" w:hAnsi="方正小标宋简体" w:eastAsia="方正小标宋简体" w:cs="方正小标宋简体"/>
          <w:color w:val="auto"/>
          <w:sz w:val="36"/>
          <w:szCs w:val="36"/>
          <w:highlight w:val="none"/>
          <w:lang w:eastAsia="zh-CN"/>
        </w:rPr>
        <w:t>（</w:t>
      </w:r>
      <w:r>
        <w:rPr>
          <w:rFonts w:hint="eastAsia" w:ascii="方正小标宋简体" w:hAnsi="方正小标宋简体" w:eastAsia="方正小标宋简体" w:cs="方正小标宋简体"/>
          <w:color w:val="auto"/>
          <w:sz w:val="36"/>
          <w:szCs w:val="36"/>
          <w:highlight w:val="none"/>
          <w:lang w:val="en-US" w:eastAsia="zh-CN"/>
        </w:rPr>
        <w:t>公开询价</w:t>
      </w:r>
      <w:r>
        <w:rPr>
          <w:rFonts w:hint="eastAsia" w:ascii="方正小标宋简体" w:hAnsi="方正小标宋简体" w:eastAsia="方正小标宋简体" w:cs="方正小标宋简体"/>
          <w:color w:val="auto"/>
          <w:sz w:val="36"/>
          <w:szCs w:val="36"/>
          <w:highlight w:val="none"/>
          <w:lang w:eastAsia="zh-CN"/>
        </w:rPr>
        <w:t>）</w:t>
      </w:r>
    </w:p>
    <w:p>
      <w:pPr>
        <w:pStyle w:val="3"/>
        <w:ind w:right="0" w:rightChars="0"/>
        <w:rPr>
          <w:rFonts w:ascii="方正小标宋简体" w:hAnsi="方正小标宋简体" w:eastAsia="方正小标宋简体" w:cs="方正小标宋简体"/>
          <w:color w:val="auto"/>
          <w:sz w:val="28"/>
          <w:szCs w:val="28"/>
          <w:highlight w:val="none"/>
        </w:rPr>
      </w:pPr>
    </w:p>
    <w:p>
      <w:pPr>
        <w:keepNext w:val="0"/>
        <w:keepLines w:val="0"/>
        <w:pageBreakBefore w:val="0"/>
        <w:widowControl/>
        <w:kinsoku/>
        <w:wordWrap/>
        <w:overflowPunct/>
        <w:topLinePunct w:val="0"/>
        <w:autoSpaceDE/>
        <w:autoSpaceDN w:val="0"/>
        <w:bidi w:val="0"/>
        <w:snapToGrid w:val="0"/>
        <w:spacing w:line="360" w:lineRule="auto"/>
        <w:textAlignment w:val="auto"/>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各单位：</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rightChars="0" w:firstLine="560" w:firstLineChars="200"/>
        <w:jc w:val="left"/>
        <w:textAlignment w:val="auto"/>
        <w:outlineLvl w:val="9"/>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sz w:val="28"/>
          <w:szCs w:val="28"/>
          <w:highlight w:val="none"/>
          <w:shd w:val="clear" w:color="auto" w:fill="FFFFFF"/>
        </w:rPr>
        <w:t>现就</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2024年</w:t>
      </w:r>
      <w:r>
        <w:rPr>
          <w:rFonts w:hint="eastAsia" w:ascii="仿宋_GB2312" w:hAnsi="仿宋_GB2312" w:eastAsia="仿宋_GB2312" w:cs="仿宋_GB2312"/>
          <w:i w:val="0"/>
          <w:caps w:val="0"/>
          <w:color w:val="auto"/>
          <w:spacing w:val="0"/>
          <w:sz w:val="28"/>
          <w:szCs w:val="28"/>
          <w:highlight w:val="non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商</w:t>
      </w:r>
      <w:bookmarkStart w:id="0" w:name="_GoBack"/>
      <w:bookmarkEnd w:id="0"/>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业电量采购项目进行公开询价</w:t>
      </w:r>
      <w:r>
        <w:rPr>
          <w:rFonts w:hint="eastAsia" w:ascii="仿宋_GB2312" w:hAnsi="仿宋_GB2312" w:eastAsia="仿宋_GB2312" w:cs="仿宋_GB2312"/>
          <w:i w:val="0"/>
          <w:caps w:val="0"/>
          <w:color w:val="auto"/>
          <w:spacing w:val="0"/>
          <w:sz w:val="28"/>
          <w:szCs w:val="28"/>
          <w:highlight w:val="none"/>
          <w:shd w:val="clear" w:color="auto" w:fill="FFFFFF"/>
        </w:rPr>
        <w:t>，请</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符合要求的相关申请人</w:t>
      </w:r>
      <w:r>
        <w:rPr>
          <w:rFonts w:hint="eastAsia" w:ascii="仿宋_GB2312" w:hAnsi="仿宋_GB2312" w:eastAsia="仿宋_GB2312" w:cs="仿宋_GB2312"/>
          <w:i w:val="0"/>
          <w:caps w:val="0"/>
          <w:color w:val="auto"/>
          <w:spacing w:val="0"/>
          <w:sz w:val="28"/>
          <w:szCs w:val="28"/>
          <w:highlight w:val="none"/>
          <w:shd w:val="clear" w:color="auto" w:fill="FFFFFF"/>
        </w:rPr>
        <w:t>根据本函相关要求进行报价及</w:t>
      </w:r>
      <w:r>
        <w:rPr>
          <w:rFonts w:hint="eastAsia" w:ascii="仿宋_GB2312" w:hAnsi="仿宋_GB2312" w:eastAsia="仿宋_GB2312" w:cs="仿宋_GB2312"/>
          <w:i w:val="0"/>
          <w:caps w:val="0"/>
          <w:color w:val="auto"/>
          <w:spacing w:val="0"/>
          <w:sz w:val="28"/>
          <w:szCs w:val="28"/>
          <w:highlight w:val="none"/>
          <w:shd w:val="clear" w:color="auto" w:fill="FFFFFF"/>
          <w:lang w:eastAsia="zh-CN"/>
        </w:rPr>
        <w:t>文件的现场递交</w:t>
      </w:r>
      <w:r>
        <w:rPr>
          <w:rFonts w:hint="eastAsia" w:ascii="仿宋_GB2312" w:hAnsi="仿宋_GB2312" w:eastAsia="仿宋_GB2312" w:cs="仿宋_GB2312"/>
          <w:i w:val="0"/>
          <w:caps w:val="0"/>
          <w:color w:val="auto"/>
          <w:spacing w:val="0"/>
          <w:sz w:val="28"/>
          <w:szCs w:val="28"/>
          <w:highlight w:val="none"/>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rightChars="0" w:firstLine="560" w:firstLineChars="200"/>
        <w:jc w:val="left"/>
        <w:textAlignment w:val="auto"/>
        <w:outlineLvl w:val="9"/>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响应文件</w:t>
      </w:r>
      <w:r>
        <w:rPr>
          <w:rFonts w:hint="eastAsia" w:ascii="仿宋_GB2312" w:hAnsi="仿宋_GB2312" w:eastAsia="仿宋_GB2312" w:cs="仿宋_GB2312"/>
          <w:i w:val="0"/>
          <w:caps w:val="0"/>
          <w:color w:val="auto"/>
          <w:spacing w:val="0"/>
          <w:sz w:val="28"/>
          <w:szCs w:val="28"/>
          <w:highlight w:val="none"/>
          <w:shd w:val="clear" w:color="auto" w:fill="FFFFFF"/>
        </w:rPr>
        <w:t>截止时间为202</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4</w:t>
      </w:r>
      <w:r>
        <w:rPr>
          <w:rFonts w:hint="eastAsia" w:ascii="仿宋_GB2312" w:hAnsi="仿宋_GB2312" w:eastAsia="仿宋_GB2312" w:cs="仿宋_GB2312"/>
          <w:i w:val="0"/>
          <w:caps w:val="0"/>
          <w:color w:val="auto"/>
          <w:spacing w:val="0"/>
          <w:sz w:val="28"/>
          <w:szCs w:val="28"/>
          <w:highlight w:val="none"/>
          <w:shd w:val="clear" w:color="auto" w:fill="FFFFFF"/>
        </w:rPr>
        <w:t>年</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w:t>
      </w:r>
      <w:r>
        <w:rPr>
          <w:rFonts w:hint="eastAsia" w:ascii="仿宋_GB2312" w:hAnsi="仿宋_GB2312" w:eastAsia="仿宋_GB2312" w:cs="仿宋_GB2312"/>
          <w:i w:val="0"/>
          <w:caps w:val="0"/>
          <w:color w:val="auto"/>
          <w:spacing w:val="0"/>
          <w:sz w:val="28"/>
          <w:szCs w:val="28"/>
          <w:highlight w:val="none"/>
          <w:shd w:val="clear" w:color="auto" w:fill="FFFFFF"/>
        </w:rPr>
        <w:t>月</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6</w:t>
      </w:r>
      <w:r>
        <w:rPr>
          <w:rFonts w:hint="eastAsia" w:ascii="仿宋_GB2312" w:hAnsi="仿宋_GB2312" w:eastAsia="仿宋_GB2312" w:cs="仿宋_GB2312"/>
          <w:i w:val="0"/>
          <w:caps w:val="0"/>
          <w:color w:val="auto"/>
          <w:spacing w:val="0"/>
          <w:sz w:val="28"/>
          <w:szCs w:val="28"/>
          <w:highlight w:val="none"/>
          <w:shd w:val="clear" w:color="auto" w:fill="FFFFFF"/>
        </w:rPr>
        <w:t>日</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15时00（北京时间，下同）</w:t>
      </w:r>
      <w:r>
        <w:rPr>
          <w:rFonts w:hint="eastAsia" w:ascii="仿宋_GB2312" w:hAnsi="仿宋_GB2312" w:eastAsia="仿宋_GB2312" w:cs="仿宋_GB2312"/>
          <w:i w:val="0"/>
          <w:caps w:val="0"/>
          <w:color w:val="auto"/>
          <w:spacing w:val="0"/>
          <w:sz w:val="28"/>
          <w:szCs w:val="28"/>
          <w:highlight w:val="none"/>
          <w:shd w:val="clear" w:color="auto" w:fill="FFFFFF"/>
        </w:rPr>
        <w:t>，截止时间后，我司不再接收任何文件。</w:t>
      </w:r>
    </w:p>
    <w:p>
      <w:pPr>
        <w:numPr>
          <w:ilvl w:val="-1"/>
          <w:numId w:val="0"/>
        </w:numPr>
        <w:snapToGrid w:val="0"/>
        <w:spacing w:line="360" w:lineRule="auto"/>
        <w:ind w:firstLine="562" w:firstLineChars="200"/>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一、</w:t>
      </w:r>
      <w:r>
        <w:rPr>
          <w:rFonts w:hint="eastAsia" w:ascii="黑体" w:hAnsi="黑体" w:eastAsia="黑体" w:cs="黑体"/>
          <w:b/>
          <w:bCs/>
          <w:color w:val="auto"/>
          <w:sz w:val="28"/>
          <w:szCs w:val="28"/>
          <w:highlight w:val="none"/>
        </w:rPr>
        <w:t>项目名称</w:t>
      </w:r>
    </w:p>
    <w:p>
      <w:pPr>
        <w:keepNext w:val="0"/>
        <w:keepLines w:val="0"/>
        <w:pageBreakBefore w:val="0"/>
        <w:tabs>
          <w:tab w:val="left" w:pos="360"/>
        </w:tabs>
        <w:kinsoku/>
        <w:wordWrap/>
        <w:overflowPunct/>
        <w:topLinePunct w:val="0"/>
        <w:autoSpaceDE/>
        <w:bidi w:val="0"/>
        <w:snapToGrid w:val="0"/>
        <w:spacing w:line="360" w:lineRule="auto"/>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2024年</w:t>
      </w:r>
      <w:r>
        <w:rPr>
          <w:rFonts w:hint="eastAsia" w:ascii="仿宋_GB2312" w:hAnsi="仿宋_GB2312" w:eastAsia="仿宋_GB2312" w:cs="仿宋_GB2312"/>
          <w:i w:val="0"/>
          <w:caps w:val="0"/>
          <w:color w:val="auto"/>
          <w:spacing w:val="0"/>
          <w:sz w:val="28"/>
          <w:szCs w:val="28"/>
          <w:highlight w:val="non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商业电量采购项目</w:t>
      </w:r>
    </w:p>
    <w:p>
      <w:pPr>
        <w:keepNext w:val="0"/>
        <w:keepLines w:val="0"/>
        <w:pageBreakBefore w:val="0"/>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32"/>
          <w:szCs w:val="32"/>
          <w:highlight w:val="none"/>
        </w:rPr>
      </w:pPr>
      <w:r>
        <w:rPr>
          <w:rFonts w:hint="eastAsia" w:ascii="黑体" w:hAnsi="黑体" w:eastAsia="黑体" w:cs="黑体"/>
          <w:b/>
          <w:bCs/>
          <w:color w:val="auto"/>
          <w:sz w:val="28"/>
          <w:szCs w:val="28"/>
          <w:highlight w:val="none"/>
        </w:rPr>
        <w:t>二、项目概况</w:t>
      </w:r>
      <w:r>
        <w:rPr>
          <w:rFonts w:hint="eastAsia" w:ascii="黑体" w:hAnsi="黑体" w:eastAsia="黑体" w:cs="黑体"/>
          <w:b/>
          <w:bCs/>
          <w:color w:val="auto"/>
          <w:sz w:val="28"/>
          <w:szCs w:val="28"/>
          <w:highlight w:val="none"/>
          <w:lang w:eastAsia="zh-CN"/>
        </w:rPr>
        <w:t>及采购内容</w:t>
      </w:r>
    </w:p>
    <w:p>
      <w:pPr>
        <w:keepNext w:val="0"/>
        <w:keepLines w:val="0"/>
        <w:pageBreakBefore w:val="0"/>
        <w:kinsoku/>
        <w:wordWrap/>
        <w:overflowPunct/>
        <w:topLinePunct w:val="0"/>
        <w:autoSpaceDE/>
        <w:bidi w:val="0"/>
        <w:snapToGrid w:val="0"/>
        <w:spacing w:line="360" w:lineRule="auto"/>
        <w:ind w:firstLine="560" w:firstLineChars="200"/>
        <w:textAlignment w:val="auto"/>
        <w:rPr>
          <w:rFonts w:hint="eastAsia" w:ascii="仿宋_GB2312" w:hAnsi="宋体" w:eastAsia="仿宋_GB2312" w:cs="仿宋_GB2312"/>
          <w:color w:val="auto"/>
          <w:sz w:val="28"/>
          <w:szCs w:val="28"/>
          <w:highlight w:val="none"/>
          <w:lang w:val="en-US" w:eastAsia="zh-CN"/>
        </w:rPr>
      </w:pPr>
      <w:r>
        <w:rPr>
          <w:rFonts w:hint="eastAsia" w:ascii="仿宋_GB2312" w:hAnsi="宋体" w:eastAsia="仿宋_GB2312" w:cs="仿宋_GB2312"/>
          <w:color w:val="auto"/>
          <w:sz w:val="28"/>
          <w:szCs w:val="28"/>
          <w:highlight w:val="none"/>
          <w:lang w:val="en-US" w:eastAsia="zh-CN"/>
        </w:rPr>
        <w:t>新城开发公司的年用电量约700万千瓦时（具体以实际用电量为准），现通过公开询价的方式采购售电单位。</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rPr>
      </w:pPr>
      <w:r>
        <w:rPr>
          <w:rFonts w:hint="eastAsia" w:ascii="仿宋_GB2312" w:hAnsi="仿宋_GB2312" w:eastAsia="仿宋_GB2312" w:cs="仿宋_GB2312"/>
          <w:b w:val="0"/>
          <w:i w:val="0"/>
          <w:color w:val="auto"/>
          <w:sz w:val="28"/>
          <w:szCs w:val="28"/>
          <w:highlight w:val="none"/>
          <w:lang w:val="en-US" w:eastAsia="zh-CN"/>
        </w:rPr>
        <w:t>1.</w:t>
      </w:r>
      <w:r>
        <w:rPr>
          <w:rFonts w:hint="eastAsia" w:ascii="仿宋_GB2312" w:hAnsi="仿宋_GB2312" w:eastAsia="仿宋_GB2312" w:cs="仿宋_GB2312"/>
          <w:i w:val="0"/>
          <w:caps w:val="0"/>
          <w:color w:val="auto"/>
          <w:spacing w:val="0"/>
          <w:sz w:val="28"/>
          <w:szCs w:val="28"/>
          <w:highlight w:val="none"/>
          <w:shd w:val="clear" w:color="auto" w:fill="FFFFFF"/>
        </w:rPr>
        <w:t>项目名称：</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2024年</w:t>
      </w:r>
      <w:r>
        <w:rPr>
          <w:rFonts w:hint="eastAsia" w:ascii="仿宋_GB2312" w:hAnsi="仿宋_GB2312" w:eastAsia="仿宋_GB2312" w:cs="仿宋_GB2312"/>
          <w:i w:val="0"/>
          <w:caps w:val="0"/>
          <w:color w:val="auto"/>
          <w:spacing w:val="0"/>
          <w:sz w:val="28"/>
          <w:szCs w:val="28"/>
          <w:highlight w:val="non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商业电量采购项目</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2.采购人：佛山市新城开发建设有限公司</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3.采购需求：采购售电单位，具体采购内容及范围详见报价邀请函文件。</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4.质量要求：按照国家有关法律、规定和技术规范，为采购人提供电力交易销售服务，具体以合同约定为准。</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5.支付方式：以合同约定为准。</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eastAsia" w:ascii="黑体" w:hAnsi="黑体" w:eastAsia="黑体" w:cs="黑体"/>
          <w:b/>
          <w:bCs/>
          <w:color w:val="auto"/>
          <w:sz w:val="28"/>
          <w:szCs w:val="28"/>
          <w:highlight w:val="none"/>
          <w:lang w:eastAsia="zh-CN"/>
        </w:rPr>
      </w:pPr>
      <w:r>
        <w:rPr>
          <w:rFonts w:hint="eastAsia" w:ascii="黑体" w:hAnsi="黑体" w:eastAsia="黑体" w:cs="黑体"/>
          <w:b/>
          <w:bCs/>
          <w:color w:val="auto"/>
          <w:sz w:val="28"/>
          <w:szCs w:val="28"/>
          <w:highlight w:val="none"/>
          <w:lang w:eastAsia="zh-CN"/>
        </w:rPr>
        <w:t>三、</w:t>
      </w:r>
      <w:r>
        <w:rPr>
          <w:rFonts w:hint="eastAsia" w:ascii="黑体" w:hAnsi="黑体" w:eastAsia="黑体" w:cs="黑体"/>
          <w:b/>
          <w:bCs/>
          <w:color w:val="auto"/>
          <w:sz w:val="28"/>
          <w:szCs w:val="28"/>
          <w:highlight w:val="none"/>
          <w:lang w:val="en-US" w:eastAsia="zh-CN"/>
        </w:rPr>
        <w:t>项目服务</w:t>
      </w:r>
      <w:r>
        <w:rPr>
          <w:rFonts w:hint="eastAsia" w:ascii="黑体" w:hAnsi="黑体" w:eastAsia="黑体" w:cs="黑体"/>
          <w:b/>
          <w:bCs/>
          <w:color w:val="auto"/>
          <w:sz w:val="28"/>
          <w:szCs w:val="28"/>
          <w:highlight w:val="none"/>
          <w:lang w:eastAsia="zh-CN"/>
        </w:rPr>
        <w:t>时间</w:t>
      </w:r>
    </w:p>
    <w:p>
      <w:pPr>
        <w:keepNext w:val="0"/>
        <w:keepLines w:val="0"/>
        <w:pageBreakBefore w:val="0"/>
        <w:kinsoku/>
        <w:wordWrap/>
        <w:overflowPunct/>
        <w:topLinePunct w:val="0"/>
        <w:autoSpaceDE/>
        <w:bidi w:val="0"/>
        <w:snapToGrid w:val="0"/>
        <w:spacing w:line="360" w:lineRule="auto"/>
        <w:ind w:firstLine="560" w:firstLineChars="200"/>
        <w:textAlignment w:val="auto"/>
        <w:rPr>
          <w:rFonts w:hint="eastAsia" w:ascii="仿宋_GB2312" w:hAnsi="宋体" w:eastAsia="仿宋_GB2312" w:cs="仿宋_GB2312"/>
          <w:color w:val="auto"/>
          <w:sz w:val="28"/>
          <w:szCs w:val="28"/>
          <w:highlight w:val="none"/>
          <w:lang w:val="en-US" w:eastAsia="zh-CN"/>
        </w:rPr>
      </w:pPr>
      <w:r>
        <w:rPr>
          <w:rFonts w:hint="eastAsia" w:ascii="仿宋_GB2312" w:hAnsi="宋体" w:eastAsia="仿宋_GB2312" w:cs="仿宋_GB2312"/>
          <w:color w:val="auto"/>
          <w:sz w:val="28"/>
          <w:szCs w:val="28"/>
          <w:highlight w:val="none"/>
          <w:lang w:val="en-US" w:eastAsia="zh-CN"/>
        </w:rPr>
        <w:t>暂定为</w:t>
      </w:r>
      <w:r>
        <w:rPr>
          <w:rFonts w:hint="eastAsia" w:ascii="仿宋_GB2312" w:hAnsi="宋体" w:eastAsia="仿宋_GB2312" w:cs="仿宋_GB2312"/>
          <w:color w:val="auto"/>
          <w:spacing w:val="0"/>
          <w:sz w:val="28"/>
          <w:szCs w:val="28"/>
          <w:highlight w:val="none"/>
        </w:rPr>
        <w:t>自广东电力交易中心有限公司对备案合同确认生效</w:t>
      </w:r>
      <w:r>
        <w:rPr>
          <w:rFonts w:hint="eastAsia" w:ascii="仿宋_GB2312" w:hAnsi="宋体" w:eastAsia="仿宋_GB2312" w:cs="仿宋_GB2312"/>
          <w:color w:val="auto"/>
          <w:spacing w:val="0"/>
          <w:sz w:val="28"/>
          <w:szCs w:val="28"/>
          <w:highlight w:val="none"/>
          <w:lang w:eastAsia="zh-CN"/>
        </w:rPr>
        <w:t>之日起至</w:t>
      </w:r>
      <w:r>
        <w:rPr>
          <w:rFonts w:hint="eastAsia" w:ascii="仿宋_GB2312" w:hAnsi="宋体" w:eastAsia="仿宋_GB2312" w:cs="仿宋_GB2312"/>
          <w:color w:val="auto"/>
          <w:spacing w:val="0"/>
          <w:sz w:val="28"/>
          <w:szCs w:val="28"/>
          <w:highlight w:val="none"/>
        </w:rPr>
        <w:t>2024年12月31日</w:t>
      </w:r>
      <w:r>
        <w:rPr>
          <w:rFonts w:hint="eastAsia" w:ascii="仿宋_GB2312" w:hAnsi="宋体" w:eastAsia="仿宋_GB2312" w:cs="仿宋_GB2312"/>
          <w:color w:val="auto"/>
          <w:spacing w:val="0"/>
          <w:sz w:val="28"/>
          <w:szCs w:val="28"/>
          <w:highlight w:val="none"/>
          <w:lang w:eastAsia="zh-CN"/>
        </w:rPr>
        <w:t>止</w:t>
      </w:r>
      <w:r>
        <w:rPr>
          <w:rFonts w:hint="eastAsia" w:ascii="仿宋_GB2312" w:hAnsi="宋体" w:eastAsia="仿宋_GB2312" w:cs="仿宋_GB2312"/>
          <w:color w:val="auto"/>
          <w:sz w:val="28"/>
          <w:szCs w:val="28"/>
          <w:highlight w:val="none"/>
          <w:lang w:val="en-US" w:eastAsia="zh-CN"/>
        </w:rPr>
        <w:t>，具体以双方最终签订合同约定的期限及以采购人确认为准。</w:t>
      </w:r>
    </w:p>
    <w:p>
      <w:pPr>
        <w:keepNext w:val="0"/>
        <w:keepLines w:val="0"/>
        <w:pageBreakBefore w:val="0"/>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eastAsia="zh-CN"/>
        </w:rPr>
        <w:t>四</w:t>
      </w:r>
      <w:r>
        <w:rPr>
          <w:rFonts w:hint="eastAsia" w:ascii="黑体" w:hAnsi="黑体" w:eastAsia="黑体" w:cs="黑体"/>
          <w:b/>
          <w:bCs/>
          <w:color w:val="auto"/>
          <w:sz w:val="28"/>
          <w:szCs w:val="28"/>
          <w:highlight w:val="none"/>
        </w:rPr>
        <w:t>、</w:t>
      </w:r>
      <w:r>
        <w:rPr>
          <w:rFonts w:hint="eastAsia" w:ascii="黑体" w:hAnsi="黑体" w:eastAsia="黑体" w:cs="黑体"/>
          <w:b/>
          <w:bCs/>
          <w:color w:val="auto"/>
          <w:sz w:val="28"/>
          <w:szCs w:val="28"/>
          <w:highlight w:val="none"/>
          <w:lang w:eastAsia="zh-CN"/>
        </w:rPr>
        <w:t>项目</w:t>
      </w:r>
      <w:r>
        <w:rPr>
          <w:rFonts w:hint="eastAsia" w:ascii="黑体" w:hAnsi="黑体" w:eastAsia="黑体" w:cs="黑体"/>
          <w:b/>
          <w:bCs/>
          <w:color w:val="auto"/>
          <w:sz w:val="28"/>
          <w:szCs w:val="28"/>
          <w:highlight w:val="none"/>
        </w:rPr>
        <w:t>要求</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Chars="0" w:right="0" w:rightChars="0" w:firstLine="490" w:firstLineChars="175"/>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w:t>
      </w:r>
      <w:r>
        <w:rPr>
          <w:rFonts w:hint="eastAsia" w:ascii="仿宋_GB2312" w:hAnsi="仿宋_GB2312" w:eastAsia="仿宋_GB2312" w:cs="仿宋_GB2312"/>
          <w:b w:val="0"/>
          <w:i w:val="0"/>
          <w:color w:val="auto"/>
          <w:sz w:val="28"/>
          <w:szCs w:val="28"/>
          <w:highlight w:val="none"/>
          <w:lang w:eastAsia="zh-CN"/>
        </w:rPr>
        <w:t>供应商</w:t>
      </w:r>
      <w:r>
        <w:rPr>
          <w:rFonts w:hint="eastAsia" w:ascii="仿宋_GB2312" w:hAnsi="仿宋_GB2312" w:eastAsia="仿宋_GB2312" w:cs="仿宋_GB2312"/>
          <w:b w:val="0"/>
          <w:i w:val="0"/>
          <w:color w:val="auto"/>
          <w:sz w:val="28"/>
          <w:szCs w:val="28"/>
          <w:highlight w:val="none"/>
          <w:lang w:val="en-US" w:eastAsia="zh-CN"/>
        </w:rPr>
        <w:t>资格要求：详见采购公告。</w:t>
      </w:r>
    </w:p>
    <w:p>
      <w:pPr>
        <w:pStyle w:val="10"/>
        <w:ind w:firstLine="536" w:firstLineChars="200"/>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2.本项目不允许转包或分包。</w:t>
      </w:r>
    </w:p>
    <w:p>
      <w:pPr>
        <w:pStyle w:val="10"/>
        <w:ind w:firstLine="536" w:firstLineChars="200"/>
        <w:rPr>
          <w:rFonts w:hint="default"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3.其他要求：以合同约定为准。</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default"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五</w:t>
      </w:r>
      <w:r>
        <w:rPr>
          <w:rFonts w:hint="eastAsia" w:ascii="黑体" w:hAnsi="黑体" w:eastAsia="黑体" w:cs="黑体"/>
          <w:b/>
          <w:bCs/>
          <w:color w:val="auto"/>
          <w:sz w:val="28"/>
          <w:szCs w:val="28"/>
          <w:highlight w:val="none"/>
        </w:rPr>
        <w:t>、</w:t>
      </w:r>
      <w:r>
        <w:rPr>
          <w:rFonts w:hint="eastAsia" w:ascii="黑体" w:hAnsi="黑体" w:eastAsia="黑体" w:cs="黑体"/>
          <w:b/>
          <w:bCs/>
          <w:color w:val="auto"/>
          <w:sz w:val="28"/>
          <w:szCs w:val="28"/>
          <w:highlight w:val="none"/>
          <w:lang w:val="en-US" w:eastAsia="zh-CN"/>
        </w:rPr>
        <w:t>响应文件的编制（</w:t>
      </w:r>
      <w:r>
        <w:rPr>
          <w:rFonts w:hint="eastAsia" w:ascii="仿宋_GB2312" w:hAnsi="宋体" w:eastAsia="仿宋_GB2312" w:cs="仿宋_GB2312"/>
          <w:b w:val="0"/>
          <w:bCs w:val="0"/>
          <w:color w:val="auto"/>
          <w:spacing w:val="-6"/>
          <w:kern w:val="0"/>
          <w:sz w:val="28"/>
          <w:szCs w:val="28"/>
          <w:highlight w:val="none"/>
          <w:lang w:val="en-US" w:eastAsia="zh-CN"/>
        </w:rPr>
        <w:t>详见采购公告附件2“响应文件格式”</w:t>
      </w:r>
      <w:r>
        <w:rPr>
          <w:rFonts w:hint="eastAsia" w:ascii="黑体" w:hAnsi="黑体" w:eastAsia="黑体" w:cs="黑体"/>
          <w:b/>
          <w:bCs/>
          <w:color w:val="auto"/>
          <w:sz w:val="28"/>
          <w:szCs w:val="28"/>
          <w:highlight w:val="none"/>
          <w:lang w:val="en-US" w:eastAsia="zh-CN"/>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1.响应</w:t>
      </w:r>
      <w:r>
        <w:rPr>
          <w:rFonts w:hint="eastAsia" w:ascii="仿宋_GB2312" w:hAnsi="仿宋_GB2312" w:eastAsia="仿宋_GB2312" w:cs="仿宋_GB2312"/>
          <w:color w:val="auto"/>
          <w:sz w:val="28"/>
          <w:szCs w:val="28"/>
          <w:highlight w:val="none"/>
          <w:lang w:val="en-US" w:eastAsia="zh-CN"/>
        </w:rPr>
        <w:t>文件封面</w:t>
      </w:r>
      <w:r>
        <w:rPr>
          <w:rFonts w:hint="eastAsia" w:ascii="仿宋_GB2312" w:hAnsi="仿宋_GB2312" w:eastAsia="仿宋_GB2312" w:cs="仿宋_GB2312"/>
          <w:color w:val="auto"/>
          <w:spacing w:val="-6"/>
          <w:kern w:val="0"/>
          <w:sz w:val="28"/>
          <w:szCs w:val="28"/>
          <w:highlight w:val="none"/>
          <w:lang w:eastAsia="zh-CN"/>
        </w:rPr>
        <w:t>；</w:t>
      </w:r>
    </w:p>
    <w:p>
      <w:pPr>
        <w:widowControl/>
        <w:numPr>
          <w:ilvl w:val="0"/>
          <w:numId w:val="2"/>
        </w:numPr>
        <w:autoSpaceDN w:val="0"/>
        <w:adjustRightInd w:val="0"/>
        <w:snapToGrid w:val="0"/>
        <w:spacing w:line="360" w:lineRule="auto"/>
        <w:ind w:firstLine="536" w:firstLineChars="200"/>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法定代表人书；</w:t>
      </w:r>
    </w:p>
    <w:p>
      <w:pPr>
        <w:widowControl/>
        <w:numPr>
          <w:ilvl w:val="0"/>
          <w:numId w:val="2"/>
        </w:numPr>
        <w:autoSpaceDN w:val="0"/>
        <w:adjustRightInd w:val="0"/>
        <w:snapToGrid w:val="0"/>
        <w:spacing w:line="360" w:lineRule="auto"/>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授权委托书</w:t>
      </w:r>
      <w:r>
        <w:rPr>
          <w:rFonts w:hint="eastAsia" w:ascii="仿宋_GB2312" w:hAnsi="仿宋_GB2312" w:eastAsia="仿宋_GB2312" w:cs="仿宋_GB2312"/>
          <w:color w:val="auto"/>
          <w:spacing w:val="-6"/>
          <w:kern w:val="0"/>
          <w:sz w:val="28"/>
          <w:szCs w:val="28"/>
          <w:highlight w:val="none"/>
          <w:lang w:val="en-US" w:eastAsia="zh-CN"/>
        </w:rPr>
        <w:t>（如有）</w:t>
      </w:r>
      <w:r>
        <w:rPr>
          <w:rFonts w:hint="eastAsia" w:ascii="仿宋_GB2312" w:hAnsi="仿宋_GB2312" w:eastAsia="仿宋_GB2312" w:cs="仿宋_GB2312"/>
          <w:color w:val="auto"/>
          <w:spacing w:val="-6"/>
          <w:kern w:val="0"/>
          <w:sz w:val="28"/>
          <w:szCs w:val="28"/>
          <w:highlight w:val="none"/>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4.</w:t>
      </w:r>
      <w:r>
        <w:rPr>
          <w:rFonts w:hint="eastAsia" w:ascii="仿宋_GB2312" w:hAnsi="仿宋_GB2312" w:eastAsia="仿宋_GB2312" w:cs="仿宋_GB2312"/>
          <w:color w:val="auto"/>
          <w:spacing w:val="-6"/>
          <w:kern w:val="0"/>
          <w:sz w:val="28"/>
          <w:szCs w:val="28"/>
          <w:highlight w:val="none"/>
        </w:rPr>
        <w:t>项目报价一览表；</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5.</w:t>
      </w:r>
      <w:r>
        <w:rPr>
          <w:rFonts w:hint="eastAsia" w:ascii="仿宋_GB2312" w:hAnsi="仿宋_GB2312" w:eastAsia="仿宋_GB2312" w:cs="仿宋_GB2312"/>
          <w:color w:val="auto"/>
          <w:spacing w:val="-6"/>
          <w:kern w:val="0"/>
          <w:sz w:val="28"/>
          <w:szCs w:val="28"/>
          <w:highlight w:val="none"/>
        </w:rPr>
        <w:t>营业执</w:t>
      </w:r>
      <w:r>
        <w:rPr>
          <w:rFonts w:hint="eastAsia" w:ascii="仿宋_GB2312" w:hAnsi="仿宋_GB2312" w:eastAsia="仿宋_GB2312" w:cs="仿宋_GB2312"/>
          <w:color w:val="auto"/>
          <w:spacing w:val="-6"/>
          <w:kern w:val="0"/>
          <w:sz w:val="28"/>
          <w:szCs w:val="28"/>
          <w:highlight w:val="none"/>
          <w:lang w:val="en-US" w:eastAsia="zh-CN"/>
        </w:rPr>
        <w:t>照的复印件</w:t>
      </w:r>
      <w:r>
        <w:rPr>
          <w:rFonts w:hint="eastAsia" w:ascii="仿宋_GB2312" w:hAnsi="仿宋_GB2312" w:eastAsia="仿宋_GB2312" w:cs="仿宋_GB2312"/>
          <w:color w:val="auto"/>
          <w:spacing w:val="-6"/>
          <w:kern w:val="0"/>
          <w:sz w:val="28"/>
          <w:szCs w:val="28"/>
          <w:highlight w:val="none"/>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6.</w:t>
      </w:r>
      <w:r>
        <w:rPr>
          <w:rFonts w:hint="eastAsia" w:ascii="仿宋_GB2312" w:hAnsi="仿宋_GB2312" w:eastAsia="仿宋_GB2312" w:cs="仿宋_GB2312"/>
          <w:color w:val="auto"/>
          <w:spacing w:val="-6"/>
          <w:kern w:val="0"/>
          <w:sz w:val="28"/>
          <w:szCs w:val="28"/>
          <w:highlight w:val="none"/>
          <w:lang w:val="en-US" w:eastAsia="zh-CN"/>
        </w:rPr>
        <w:t>供应商</w:t>
      </w:r>
      <w:r>
        <w:rPr>
          <w:rFonts w:hint="eastAsia" w:ascii="仿宋_GB2312" w:hAnsi="仿宋_GB2312" w:eastAsia="仿宋_GB2312" w:cs="仿宋_GB2312"/>
          <w:color w:val="auto"/>
          <w:sz w:val="28"/>
          <w:szCs w:val="28"/>
          <w:highlight w:val="none"/>
          <w:shd w:val="clear" w:color="auto" w:fill="FFFFFF"/>
          <w:lang w:val="en-US" w:eastAsia="zh-CN"/>
        </w:rPr>
        <w:t>在广东电力交易中心完成办理售电公司注册并已成功纳入交易市场主体（售电公司）目录企业名单（须提供广东电力交易中心相关网页截图或相关证明文件复印件）；</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eastAsia="zh-CN"/>
        </w:rPr>
      </w:pPr>
      <w:r>
        <w:rPr>
          <w:rFonts w:hint="eastAsia" w:ascii="仿宋_GB2312" w:hAnsi="仿宋_GB2312" w:eastAsia="仿宋_GB2312" w:cs="仿宋_GB2312"/>
          <w:color w:val="auto"/>
          <w:spacing w:val="-6"/>
          <w:kern w:val="0"/>
          <w:sz w:val="28"/>
          <w:szCs w:val="28"/>
          <w:highlight w:val="none"/>
          <w:lang w:val="en-US" w:eastAsia="zh-CN"/>
        </w:rPr>
        <w:t>7.</w:t>
      </w:r>
      <w:r>
        <w:rPr>
          <w:rFonts w:hint="eastAsia" w:ascii="仿宋_GB2312" w:hAnsi="仿宋_GB2312" w:eastAsia="仿宋_GB2312" w:cs="仿宋_GB2312"/>
          <w:color w:val="auto"/>
          <w:spacing w:val="-6"/>
          <w:kern w:val="0"/>
          <w:sz w:val="28"/>
          <w:szCs w:val="28"/>
          <w:highlight w:val="none"/>
        </w:rPr>
        <w:t>广东电力市场2023年上半年信用评价结果3A级文件复印件</w:t>
      </w:r>
      <w:r>
        <w:rPr>
          <w:rFonts w:hint="eastAsia" w:ascii="仿宋_GB2312" w:hAnsi="仿宋_GB2312" w:eastAsia="仿宋_GB2312" w:cs="仿宋_GB2312"/>
          <w:color w:val="auto"/>
          <w:spacing w:val="-6"/>
          <w:kern w:val="0"/>
          <w:sz w:val="28"/>
          <w:szCs w:val="28"/>
          <w:highlight w:val="none"/>
          <w:lang w:eastAsia="zh-CN"/>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rPr>
        <w:t>8</w:t>
      </w:r>
      <w:r>
        <w:rPr>
          <w:rFonts w:hint="eastAsia" w:ascii="仿宋_GB2312" w:hAnsi="仿宋_GB2312" w:eastAsia="仿宋_GB2312" w:cs="仿宋_GB2312"/>
          <w:color w:val="auto"/>
          <w:spacing w:val="-6"/>
          <w:kern w:val="0"/>
          <w:sz w:val="28"/>
          <w:szCs w:val="28"/>
          <w:highlight w:val="none"/>
          <w:lang w:val="en-US" w:eastAsia="zh-CN"/>
        </w:rPr>
        <w:t>.</w:t>
      </w:r>
      <w:r>
        <w:rPr>
          <w:rFonts w:hint="eastAsia" w:ascii="仿宋_GB2312" w:hAnsi="仿宋_GB2312" w:eastAsia="仿宋_GB2312" w:cs="仿宋_GB2312"/>
          <w:color w:val="auto"/>
          <w:sz w:val="28"/>
          <w:szCs w:val="28"/>
          <w:highlight w:val="none"/>
          <w:shd w:val="clear" w:color="auto" w:fill="FFFFFF"/>
          <w:lang w:val="en-US" w:eastAsia="zh-CN"/>
        </w:rPr>
        <w:t>近三年（2021年1月至响应文件递交截止时间止，以合同签订时间为准）供应商售电相关业绩</w:t>
      </w:r>
      <w:r>
        <w:rPr>
          <w:rFonts w:hint="eastAsia" w:ascii="仿宋_GB2312" w:hAnsi="仿宋_GB2312" w:eastAsia="仿宋_GB2312" w:cs="仿宋_GB2312"/>
          <w:b w:val="0"/>
          <w:bCs w:val="0"/>
          <w:color w:val="auto"/>
          <w:sz w:val="28"/>
          <w:szCs w:val="28"/>
          <w:highlight w:val="none"/>
          <w:shd w:val="clear" w:color="auto" w:fill="FFFFFF"/>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9.</w:t>
      </w:r>
      <w:r>
        <w:rPr>
          <w:rFonts w:hint="eastAsia" w:ascii="仿宋_GB2312" w:hAnsi="仿宋_GB2312" w:eastAsia="仿宋_GB2312" w:cs="仿宋_GB2312"/>
          <w:color w:val="auto"/>
          <w:spacing w:val="-6"/>
          <w:kern w:val="0"/>
          <w:sz w:val="28"/>
          <w:szCs w:val="28"/>
          <w:highlight w:val="none"/>
        </w:rPr>
        <w:t>其他相关文件（</w:t>
      </w:r>
      <w:r>
        <w:rPr>
          <w:rFonts w:hint="eastAsia" w:ascii="仿宋_GB2312" w:hAnsi="仿宋_GB2312" w:eastAsia="仿宋_GB2312" w:cs="仿宋_GB2312"/>
          <w:color w:val="auto"/>
          <w:spacing w:val="-6"/>
          <w:kern w:val="0"/>
          <w:sz w:val="28"/>
          <w:szCs w:val="28"/>
          <w:highlight w:val="none"/>
          <w:lang w:val="en-US" w:eastAsia="zh-CN"/>
        </w:rPr>
        <w:t>如</w:t>
      </w:r>
      <w:r>
        <w:rPr>
          <w:rFonts w:hint="eastAsia" w:ascii="仿宋_GB2312" w:hAnsi="仿宋_GB2312" w:eastAsia="仿宋_GB2312" w:cs="仿宋_GB2312"/>
          <w:color w:val="auto"/>
          <w:spacing w:val="-6"/>
          <w:kern w:val="0"/>
          <w:sz w:val="28"/>
          <w:szCs w:val="28"/>
          <w:highlight w:val="none"/>
        </w:rPr>
        <w:t>有）</w:t>
      </w:r>
      <w:r>
        <w:rPr>
          <w:rFonts w:hint="eastAsia" w:ascii="仿宋_GB2312" w:hAnsi="仿宋_GB2312" w:eastAsia="仿宋_GB2312" w:cs="仿宋_GB2312"/>
          <w:color w:val="auto"/>
          <w:spacing w:val="-6"/>
          <w:kern w:val="0"/>
          <w:sz w:val="28"/>
          <w:szCs w:val="28"/>
          <w:highlight w:val="none"/>
          <w:lang w:eastAsia="zh-CN"/>
        </w:rPr>
        <w:t>。</w:t>
      </w:r>
    </w:p>
    <w:p>
      <w:pPr>
        <w:keepNext w:val="0"/>
        <w:keepLines w:val="0"/>
        <w:pageBreakBefore w:val="0"/>
        <w:kinsoku/>
        <w:wordWrap/>
        <w:overflowPunct/>
        <w:topLinePunct w:val="0"/>
        <w:autoSpaceDE/>
        <w:bidi w:val="0"/>
        <w:snapToGrid w:val="0"/>
        <w:spacing w:line="360" w:lineRule="auto"/>
        <w:ind w:firstLine="667" w:firstLineChars="249"/>
        <w:textAlignment w:val="auto"/>
        <w:rPr>
          <w:rFonts w:ascii="仿宋_GB2312" w:eastAsia="仿宋_GB2312" w:cs="仿宋_GB2312"/>
          <w:b w:val="0"/>
          <w:bCs w:val="0"/>
          <w:color w:val="auto"/>
          <w:spacing w:val="-6"/>
          <w:kern w:val="0"/>
          <w:sz w:val="28"/>
          <w:szCs w:val="28"/>
          <w:highlight w:val="none"/>
        </w:rPr>
      </w:pPr>
      <w:r>
        <w:rPr>
          <w:rFonts w:hint="eastAsia" w:ascii="仿宋_GB2312" w:hAnsi="宋体" w:eastAsia="仿宋_GB2312" w:cs="仿宋_GB2312"/>
          <w:b w:val="0"/>
          <w:bCs w:val="0"/>
          <w:color w:val="auto"/>
          <w:spacing w:val="-6"/>
          <w:kern w:val="0"/>
          <w:sz w:val="28"/>
          <w:szCs w:val="28"/>
          <w:highlight w:val="none"/>
        </w:rPr>
        <w:t>注：上述</w:t>
      </w:r>
      <w:r>
        <w:rPr>
          <w:rFonts w:hint="eastAsia" w:ascii="仿宋_GB2312" w:hAnsi="宋体" w:eastAsia="仿宋_GB2312" w:cs="仿宋_GB2312"/>
          <w:b/>
          <w:bCs/>
          <w:color w:val="auto"/>
          <w:spacing w:val="-6"/>
          <w:kern w:val="0"/>
          <w:sz w:val="28"/>
          <w:szCs w:val="28"/>
          <w:highlight w:val="none"/>
        </w:rPr>
        <w:t>所有资料</w:t>
      </w:r>
      <w:r>
        <w:rPr>
          <w:rFonts w:hint="eastAsia" w:ascii="仿宋_GB2312" w:hAnsi="宋体" w:eastAsia="仿宋_GB2312" w:cs="仿宋_GB2312"/>
          <w:b/>
          <w:bCs/>
          <w:color w:val="auto"/>
          <w:spacing w:val="-6"/>
          <w:kern w:val="0"/>
          <w:sz w:val="28"/>
          <w:szCs w:val="28"/>
          <w:highlight w:val="none"/>
          <w:lang w:eastAsia="zh-CN"/>
        </w:rPr>
        <w:t>（每一页）</w:t>
      </w:r>
      <w:r>
        <w:rPr>
          <w:rFonts w:hint="eastAsia" w:ascii="仿宋_GB2312" w:hAnsi="宋体" w:eastAsia="仿宋_GB2312" w:cs="仿宋_GB2312"/>
          <w:b/>
          <w:bCs/>
          <w:color w:val="auto"/>
          <w:spacing w:val="-6"/>
          <w:kern w:val="0"/>
          <w:sz w:val="28"/>
          <w:szCs w:val="28"/>
          <w:highlight w:val="none"/>
        </w:rPr>
        <w:t>由报价单位</w:t>
      </w:r>
      <w:r>
        <w:rPr>
          <w:rFonts w:hint="eastAsia" w:ascii="仿宋_GB2312" w:hAnsi="宋体" w:eastAsia="仿宋_GB2312" w:cs="仿宋_GB2312"/>
          <w:b/>
          <w:bCs/>
          <w:color w:val="auto"/>
          <w:spacing w:val="-6"/>
          <w:kern w:val="0"/>
          <w:sz w:val="28"/>
          <w:szCs w:val="28"/>
          <w:highlight w:val="none"/>
          <w:lang w:val="en-US" w:eastAsia="zh-CN"/>
        </w:rPr>
        <w:t>按要求盖章签字</w:t>
      </w:r>
      <w:r>
        <w:rPr>
          <w:rFonts w:hint="eastAsia" w:ascii="仿宋_GB2312" w:hAnsi="宋体" w:eastAsia="仿宋_GB2312" w:cs="仿宋_GB2312"/>
          <w:b w:val="0"/>
          <w:bCs w:val="0"/>
          <w:color w:val="auto"/>
          <w:spacing w:val="-6"/>
          <w:kern w:val="0"/>
          <w:sz w:val="28"/>
          <w:szCs w:val="28"/>
          <w:highlight w:val="none"/>
        </w:rPr>
        <w:t>，否则报价无效。</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六、响应文件的份数</w:t>
      </w:r>
    </w:p>
    <w:p>
      <w:pPr>
        <w:widowControl/>
        <w:autoSpaceDN w:val="0"/>
        <w:adjustRightInd w:val="0"/>
        <w:snapToGrid w:val="0"/>
        <w:spacing w:line="360" w:lineRule="auto"/>
        <w:ind w:firstLine="536" w:firstLineChars="200"/>
        <w:rPr>
          <w:rFonts w:hint="eastAsia" w:ascii="仿宋_GB2312" w:hAnsi="仿宋_GB2312" w:eastAsia="仿宋_GB2312" w:cs="仿宋_GB2312"/>
          <w:color w:val="auto"/>
          <w:spacing w:val="-6"/>
          <w:kern w:val="0"/>
          <w:sz w:val="28"/>
          <w:szCs w:val="28"/>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bidi="ar"/>
        </w:rPr>
        <w:t>响应文件</w:t>
      </w:r>
      <w:r>
        <w:rPr>
          <w:rFonts w:hint="eastAsia" w:ascii="仿宋_GB2312" w:hAnsi="仿宋_GB2312" w:eastAsia="仿宋_GB2312" w:cs="仿宋_GB2312"/>
          <w:color w:val="auto"/>
          <w:spacing w:val="-6"/>
          <w:kern w:val="0"/>
          <w:sz w:val="28"/>
          <w:szCs w:val="28"/>
          <w:highlight w:val="none"/>
          <w:lang w:bidi="ar"/>
        </w:rPr>
        <w:t>纸质文件正本</w:t>
      </w:r>
      <w:r>
        <w:rPr>
          <w:rFonts w:hint="eastAsia" w:ascii="仿宋_GB2312" w:hAnsi="仿宋_GB2312" w:eastAsia="仿宋_GB2312" w:cs="仿宋_GB2312"/>
          <w:color w:val="auto"/>
          <w:spacing w:val="-6"/>
          <w:kern w:val="0"/>
          <w:sz w:val="28"/>
          <w:szCs w:val="28"/>
          <w:highlight w:val="none"/>
          <w:u w:val="none"/>
          <w:lang w:val="en-US" w:eastAsia="zh-CN" w:bidi="ar"/>
        </w:rPr>
        <w:t>1</w:t>
      </w:r>
      <w:r>
        <w:rPr>
          <w:rFonts w:hint="eastAsia" w:ascii="仿宋_GB2312" w:hAnsi="仿宋_GB2312" w:eastAsia="仿宋_GB2312" w:cs="仿宋_GB2312"/>
          <w:color w:val="auto"/>
          <w:spacing w:val="-6"/>
          <w:kern w:val="0"/>
          <w:sz w:val="28"/>
          <w:szCs w:val="28"/>
          <w:highlight w:val="none"/>
          <w:lang w:bidi="ar"/>
        </w:rPr>
        <w:t>份，副本</w:t>
      </w:r>
      <w:r>
        <w:rPr>
          <w:rFonts w:hint="eastAsia" w:ascii="仿宋_GB2312" w:hAnsi="仿宋_GB2312" w:eastAsia="仿宋_GB2312" w:cs="仿宋_GB2312"/>
          <w:color w:val="auto"/>
          <w:spacing w:val="-6"/>
          <w:kern w:val="0"/>
          <w:sz w:val="28"/>
          <w:szCs w:val="28"/>
          <w:highlight w:val="none"/>
          <w:u w:val="none"/>
          <w:lang w:val="en-US" w:eastAsia="zh-CN" w:bidi="ar"/>
        </w:rPr>
        <w:t>1</w:t>
      </w:r>
      <w:r>
        <w:rPr>
          <w:rFonts w:hint="eastAsia" w:ascii="仿宋_GB2312" w:hAnsi="仿宋_GB2312" w:eastAsia="仿宋_GB2312" w:cs="仿宋_GB2312"/>
          <w:color w:val="auto"/>
          <w:spacing w:val="-6"/>
          <w:kern w:val="0"/>
          <w:sz w:val="28"/>
          <w:szCs w:val="28"/>
          <w:highlight w:val="none"/>
          <w:lang w:bidi="ar"/>
        </w:rPr>
        <w:t>份</w:t>
      </w:r>
      <w:r>
        <w:rPr>
          <w:rFonts w:hint="eastAsia" w:ascii="仿宋_GB2312" w:hAnsi="仿宋_GB2312" w:eastAsia="仿宋_GB2312" w:cs="仿宋_GB2312"/>
          <w:color w:val="auto"/>
          <w:spacing w:val="-6"/>
          <w:kern w:val="0"/>
          <w:sz w:val="28"/>
          <w:szCs w:val="28"/>
          <w:highlight w:val="none"/>
          <w:lang w:eastAsia="zh-CN" w:bidi="ar"/>
        </w:rPr>
        <w:t>；</w:t>
      </w:r>
      <w:r>
        <w:rPr>
          <w:rFonts w:hint="eastAsia" w:ascii="仿宋_GB2312" w:hAnsi="仿宋_GB2312" w:eastAsia="仿宋_GB2312" w:cs="仿宋_GB2312"/>
          <w:color w:val="auto"/>
          <w:spacing w:val="-6"/>
          <w:kern w:val="0"/>
          <w:sz w:val="28"/>
          <w:szCs w:val="28"/>
          <w:highlight w:val="none"/>
          <w:lang w:val="en-US" w:eastAsia="zh-CN" w:bidi="ar"/>
        </w:rPr>
        <w:t>响应</w:t>
      </w:r>
      <w:r>
        <w:rPr>
          <w:rFonts w:hint="eastAsia" w:ascii="仿宋_GB2312" w:hAnsi="仿宋_GB2312" w:eastAsia="仿宋_GB2312" w:cs="仿宋_GB2312"/>
          <w:color w:val="auto"/>
          <w:spacing w:val="-6"/>
          <w:kern w:val="0"/>
          <w:sz w:val="28"/>
          <w:szCs w:val="28"/>
          <w:highlight w:val="none"/>
          <w:lang w:bidi="ar"/>
        </w:rPr>
        <w:t>文件的副本可以是正本签字盖章后的复印件，但必须清晰可辨；当副本与正本不一致时以</w:t>
      </w:r>
      <w:r>
        <w:rPr>
          <w:rFonts w:hint="eastAsia" w:ascii="仿宋_GB2312" w:hAnsi="仿宋_GB2312" w:eastAsia="仿宋_GB2312" w:cs="仿宋_GB2312"/>
          <w:color w:val="auto"/>
          <w:spacing w:val="-6"/>
          <w:kern w:val="0"/>
          <w:sz w:val="28"/>
          <w:szCs w:val="28"/>
          <w:highlight w:val="none"/>
          <w:lang w:val="en-US" w:eastAsia="zh-CN" w:bidi="ar"/>
        </w:rPr>
        <w:t>纸质文件</w:t>
      </w:r>
      <w:r>
        <w:rPr>
          <w:rFonts w:hint="eastAsia" w:ascii="仿宋_GB2312" w:hAnsi="仿宋_GB2312" w:eastAsia="仿宋_GB2312" w:cs="仿宋_GB2312"/>
          <w:color w:val="auto"/>
          <w:spacing w:val="-6"/>
          <w:kern w:val="0"/>
          <w:sz w:val="28"/>
          <w:szCs w:val="28"/>
          <w:highlight w:val="none"/>
          <w:lang w:bidi="ar"/>
        </w:rPr>
        <w:t>正本为准。</w:t>
      </w:r>
    </w:p>
    <w:p>
      <w:pPr>
        <w:keepNext w:val="0"/>
        <w:keepLines w:val="0"/>
        <w:pageBreakBefore w:val="0"/>
        <w:kinsoku/>
        <w:wordWrap/>
        <w:overflowPunct/>
        <w:topLinePunct w:val="0"/>
        <w:autoSpaceDE/>
        <w:bidi w:val="0"/>
        <w:snapToGrid w:val="0"/>
        <w:spacing w:line="360" w:lineRule="auto"/>
        <w:ind w:firstLine="562" w:firstLineChars="200"/>
        <w:textAlignment w:val="auto"/>
        <w:rPr>
          <w:rFonts w:hint="eastAsia" w:ascii="黑体" w:hAnsi="黑体" w:eastAsia="黑体" w:cs="黑体"/>
          <w:b/>
          <w:bCs/>
          <w:color w:val="auto"/>
          <w:sz w:val="28"/>
          <w:szCs w:val="28"/>
          <w:highlight w:val="none"/>
          <w:lang w:val="en-US" w:eastAsia="zh-CN"/>
        </w:rPr>
      </w:pPr>
      <w:r>
        <w:rPr>
          <w:rFonts w:hint="eastAsia" w:ascii="黑体" w:hAnsi="黑体" w:eastAsia="黑体" w:cs="黑体"/>
          <w:b/>
          <w:bCs/>
          <w:color w:val="auto"/>
          <w:sz w:val="28"/>
          <w:szCs w:val="28"/>
          <w:highlight w:val="none"/>
          <w:lang w:val="en-US" w:eastAsia="zh-CN"/>
        </w:rPr>
        <w:t>七、响应文件的密封与标记</w:t>
      </w:r>
    </w:p>
    <w:p>
      <w:pPr>
        <w:widowControl/>
        <w:numPr>
          <w:ilvl w:val="-1"/>
          <w:numId w:val="0"/>
        </w:numPr>
        <w:autoSpaceDN w:val="0"/>
        <w:adjustRightInd w:val="0"/>
        <w:snapToGrid w:val="0"/>
        <w:spacing w:line="360" w:lineRule="auto"/>
        <w:ind w:firstLine="637" w:firstLineChars="238"/>
        <w:rPr>
          <w:rFonts w:hint="eastAsia" w:ascii="仿宋_GB2312" w:hAnsi="仿宋_GB2312" w:eastAsia="仿宋_GB2312" w:cs="仿宋_GB2312"/>
          <w:color w:val="auto"/>
          <w:spacing w:val="-6"/>
          <w:kern w:val="0"/>
          <w:sz w:val="28"/>
          <w:szCs w:val="28"/>
          <w:highlight w:val="none"/>
          <w:lang w:bidi="ar"/>
        </w:rPr>
      </w:pPr>
      <w:r>
        <w:rPr>
          <w:rFonts w:hint="eastAsia" w:ascii="仿宋_GB2312" w:hAnsi="仿宋_GB2312" w:eastAsia="仿宋_GB2312" w:cs="仿宋_GB2312"/>
          <w:color w:val="auto"/>
          <w:spacing w:val="-6"/>
          <w:kern w:val="0"/>
          <w:sz w:val="28"/>
          <w:szCs w:val="28"/>
          <w:highlight w:val="none"/>
          <w:lang w:bidi="ar"/>
        </w:rPr>
        <w:t>响应文件采用装订方式，装订应牢固、不易拆散和换页。响应文件应在密封处加盖公章，标注正本和副本，封皮应注明：</w:t>
      </w:r>
    </w:p>
    <w:p>
      <w:pPr>
        <w:widowControl/>
        <w:numPr>
          <w:ilvl w:val="-1"/>
          <w:numId w:val="0"/>
        </w:numPr>
        <w:autoSpaceDN w:val="0"/>
        <w:adjustRightInd w:val="0"/>
        <w:snapToGrid w:val="0"/>
        <w:spacing w:line="360" w:lineRule="auto"/>
        <w:ind w:firstLine="637" w:firstLineChars="238"/>
        <w:rPr>
          <w:rFonts w:hint="eastAsia" w:ascii="仿宋_GB2312" w:hAnsi="仿宋_GB2312" w:eastAsia="仿宋_GB2312" w:cs="仿宋_GB2312"/>
          <w:color w:val="auto"/>
          <w:spacing w:val="-6"/>
          <w:kern w:val="0"/>
          <w:sz w:val="28"/>
          <w:szCs w:val="28"/>
          <w:highlight w:val="none"/>
          <w:u w:val="none"/>
          <w:lang w:bidi="ar"/>
        </w:rPr>
      </w:pPr>
      <w:r>
        <w:rPr>
          <w:rFonts w:hint="eastAsia" w:ascii="仿宋_GB2312" w:hAnsi="仿宋_GB2312" w:eastAsia="仿宋_GB2312" w:cs="仿宋_GB2312"/>
          <w:color w:val="auto"/>
          <w:spacing w:val="-6"/>
          <w:kern w:val="0"/>
          <w:sz w:val="28"/>
          <w:szCs w:val="28"/>
          <w:highlight w:val="none"/>
          <w:lang w:val="en-US" w:eastAsia="zh-CN" w:bidi="ar"/>
        </w:rPr>
        <w:t>1、</w:t>
      </w:r>
      <w:r>
        <w:rPr>
          <w:rFonts w:hint="eastAsia" w:ascii="仿宋_GB2312" w:hAnsi="仿宋_GB2312" w:eastAsia="仿宋_GB2312" w:cs="仿宋_GB2312"/>
          <w:color w:val="auto"/>
          <w:spacing w:val="-6"/>
          <w:kern w:val="0"/>
          <w:sz w:val="28"/>
          <w:szCs w:val="28"/>
          <w:highlight w:val="none"/>
          <w:lang w:bidi="ar"/>
        </w:rPr>
        <w:t>项目名称</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p>
    <w:p>
      <w:pPr>
        <w:widowControl/>
        <w:numPr>
          <w:ilvl w:val="-1"/>
          <w:numId w:val="0"/>
        </w:numPr>
        <w:autoSpaceDN w:val="0"/>
        <w:adjustRightInd w:val="0"/>
        <w:snapToGrid w:val="0"/>
        <w:spacing w:line="360" w:lineRule="auto"/>
        <w:ind w:firstLine="637" w:firstLineChars="238"/>
        <w:rPr>
          <w:rFonts w:hint="eastAsia" w:ascii="仿宋_GB2312" w:hAnsi="仿宋_GB2312" w:eastAsia="仿宋_GB2312" w:cs="仿宋_GB2312"/>
          <w:color w:val="auto"/>
          <w:spacing w:val="-6"/>
          <w:kern w:val="0"/>
          <w:sz w:val="28"/>
          <w:szCs w:val="28"/>
          <w:highlight w:val="none"/>
          <w:lang w:bidi="ar"/>
        </w:rPr>
      </w:pPr>
      <w:r>
        <w:rPr>
          <w:rFonts w:hint="eastAsia" w:ascii="仿宋_GB2312" w:hAnsi="仿宋_GB2312" w:eastAsia="仿宋_GB2312" w:cs="仿宋_GB2312"/>
          <w:color w:val="auto"/>
          <w:spacing w:val="-6"/>
          <w:kern w:val="0"/>
          <w:sz w:val="28"/>
          <w:szCs w:val="28"/>
          <w:highlight w:val="none"/>
          <w:lang w:val="en-US" w:eastAsia="zh-CN" w:bidi="ar"/>
        </w:rPr>
        <w:t>2、</w:t>
      </w:r>
      <w:r>
        <w:rPr>
          <w:rFonts w:hint="eastAsia" w:ascii="仿宋_GB2312" w:hAnsi="仿宋_GB2312" w:eastAsia="仿宋_GB2312" w:cs="仿宋_GB2312"/>
          <w:color w:val="auto"/>
          <w:spacing w:val="-6"/>
          <w:kern w:val="0"/>
          <w:sz w:val="28"/>
          <w:szCs w:val="28"/>
          <w:highlight w:val="none"/>
          <w:lang w:bidi="ar"/>
        </w:rPr>
        <w:t>供应商名称</w:t>
      </w:r>
      <w:r>
        <w:rPr>
          <w:rFonts w:hint="eastAsia" w:ascii="仿宋_GB2312" w:hAnsi="仿宋_GB2312" w:eastAsia="仿宋_GB2312" w:cs="仿宋_GB2312"/>
          <w:color w:val="auto"/>
          <w:spacing w:val="-6"/>
          <w:kern w:val="0"/>
          <w:sz w:val="28"/>
          <w:szCs w:val="28"/>
          <w:highlight w:val="none"/>
          <w:lang w:val="en-GB"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p>
    <w:p>
      <w:pPr>
        <w:widowControl/>
        <w:numPr>
          <w:ilvl w:val="-1"/>
          <w:numId w:val="0"/>
        </w:numPr>
        <w:autoSpaceDN w:val="0"/>
        <w:adjustRightInd w:val="0"/>
        <w:snapToGrid w:val="0"/>
        <w:spacing w:line="360" w:lineRule="auto"/>
        <w:ind w:firstLine="637" w:firstLineChars="238"/>
        <w:rPr>
          <w:rFonts w:hint="eastAsia" w:ascii="仿宋_GB2312" w:hAnsi="仿宋_GB2312" w:eastAsia="仿宋_GB2312" w:cs="仿宋_GB2312"/>
          <w:color w:val="auto"/>
          <w:spacing w:val="-6"/>
          <w:kern w:val="0"/>
          <w:sz w:val="28"/>
          <w:szCs w:val="28"/>
          <w:highlight w:val="none"/>
          <w:lang w:bidi="ar"/>
        </w:rPr>
      </w:pPr>
      <w:r>
        <w:rPr>
          <w:rFonts w:hint="eastAsia" w:ascii="仿宋_GB2312" w:hAnsi="仿宋_GB2312" w:eastAsia="仿宋_GB2312" w:cs="仿宋_GB2312"/>
          <w:color w:val="auto"/>
          <w:spacing w:val="-6"/>
          <w:kern w:val="0"/>
          <w:sz w:val="28"/>
          <w:szCs w:val="28"/>
          <w:highlight w:val="none"/>
          <w:lang w:val="en-US" w:eastAsia="zh-CN" w:bidi="ar"/>
        </w:rPr>
        <w:t>3、</w:t>
      </w:r>
      <w:r>
        <w:rPr>
          <w:rFonts w:hint="eastAsia" w:ascii="仿宋_GB2312" w:hAnsi="仿宋_GB2312" w:eastAsia="仿宋_GB2312" w:cs="仿宋_GB2312"/>
          <w:color w:val="auto"/>
          <w:spacing w:val="-6"/>
          <w:kern w:val="0"/>
          <w:sz w:val="28"/>
          <w:szCs w:val="28"/>
          <w:highlight w:val="none"/>
          <w:lang w:bidi="ar"/>
        </w:rPr>
        <w:t>供应商地址</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p>
    <w:p>
      <w:pPr>
        <w:widowControl/>
        <w:numPr>
          <w:ilvl w:val="-1"/>
          <w:numId w:val="0"/>
        </w:numPr>
        <w:autoSpaceDN w:val="0"/>
        <w:adjustRightInd w:val="0"/>
        <w:snapToGrid w:val="0"/>
        <w:spacing w:line="360" w:lineRule="auto"/>
        <w:ind w:firstLine="637" w:firstLineChars="238"/>
        <w:rPr>
          <w:rFonts w:hint="default"/>
          <w:color w:val="auto"/>
          <w:highlight w:val="none"/>
          <w:lang w:val="en-US" w:eastAsia="zh-CN"/>
        </w:rPr>
      </w:pPr>
      <w:r>
        <w:rPr>
          <w:rFonts w:hint="eastAsia" w:ascii="仿宋_GB2312" w:hAnsi="仿宋_GB2312" w:eastAsia="仿宋_GB2312" w:cs="仿宋_GB2312"/>
          <w:color w:val="auto"/>
          <w:spacing w:val="-6"/>
          <w:kern w:val="0"/>
          <w:sz w:val="28"/>
          <w:szCs w:val="28"/>
          <w:highlight w:val="none"/>
          <w:lang w:val="en-US" w:eastAsia="zh-CN" w:bidi="ar"/>
        </w:rPr>
        <w:t>4、</w:t>
      </w:r>
      <w:r>
        <w:rPr>
          <w:rFonts w:hint="eastAsia" w:ascii="仿宋_GB2312" w:hAnsi="仿宋_GB2312" w:eastAsia="仿宋_GB2312" w:cs="仿宋_GB2312"/>
          <w:color w:val="auto"/>
          <w:spacing w:val="-6"/>
          <w:kern w:val="0"/>
          <w:sz w:val="28"/>
          <w:szCs w:val="28"/>
          <w:highlight w:val="none"/>
          <w:lang w:bidi="ar"/>
        </w:rPr>
        <w:t>供应商联系人及联系方式</w:t>
      </w:r>
      <w:r>
        <w:rPr>
          <w:rFonts w:hint="eastAsia" w:ascii="仿宋_GB2312" w:hAnsi="仿宋_GB2312" w:eastAsia="仿宋_GB2312" w:cs="仿宋_GB2312"/>
          <w:color w:val="auto"/>
          <w:spacing w:val="-6"/>
          <w:kern w:val="0"/>
          <w:sz w:val="28"/>
          <w:szCs w:val="28"/>
          <w:highlight w:val="none"/>
          <w:lang w:eastAsia="zh-CN" w:bidi="ar"/>
        </w:rPr>
        <w:t>。</w:t>
      </w:r>
      <w:r>
        <w:rPr>
          <w:rFonts w:hint="eastAsia" w:ascii="仿宋_GB2312" w:hAnsi="仿宋_GB2312" w:eastAsia="仿宋_GB2312" w:cs="仿宋_GB2312"/>
          <w:color w:val="auto"/>
          <w:spacing w:val="-6"/>
          <w:kern w:val="0"/>
          <w:sz w:val="28"/>
          <w:szCs w:val="28"/>
          <w:highlight w:val="none"/>
          <w:u w:val="none"/>
          <w:lang w:bidi="ar"/>
        </w:rPr>
        <w:t xml:space="preserve">     </w:t>
      </w:r>
      <w:r>
        <w:rPr>
          <w:rFonts w:hint="eastAsia" w:ascii="宋体" w:hAnsi="宋体" w:eastAsia="宋体" w:cs="宋体"/>
          <w:color w:val="auto"/>
          <w:kern w:val="0"/>
          <w:sz w:val="24"/>
          <w:szCs w:val="24"/>
          <w:highlight w:val="none"/>
          <w:u w:val="single"/>
          <w:lang w:bidi="ar"/>
        </w:rPr>
        <w:t xml:space="preserve">                       </w:t>
      </w:r>
    </w:p>
    <w:p>
      <w:pPr>
        <w:keepNext w:val="0"/>
        <w:keepLines w:val="0"/>
        <w:pageBreakBefore w:val="0"/>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六</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rPr>
        <w:t>项目限价</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default"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报价限价：本项目按照“固定价格+联动价格”的电能量交易模式，开展零售签订合同。供应商需对固定价格（</w:t>
      </w:r>
      <w:r>
        <w:rPr>
          <w:rFonts w:hint="eastAsia" w:ascii="仿宋_GB2312" w:hAnsi="仿宋_GB2312" w:eastAsia="仿宋_GB2312" w:cs="仿宋_GB2312"/>
          <w:b w:val="0"/>
          <w:i w:val="0"/>
          <w:color w:val="auto"/>
          <w:kern w:val="0"/>
          <w:sz w:val="28"/>
          <w:szCs w:val="28"/>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）进行单价报价，固定价格（</w:t>
      </w:r>
      <w:r>
        <w:rPr>
          <w:rFonts w:hint="eastAsia" w:ascii="仿宋_GB2312" w:hAnsi="仿宋_GB2312" w:eastAsia="仿宋_GB2312" w:cs="仿宋_GB2312"/>
          <w:b w:val="0"/>
          <w:i w:val="0"/>
          <w:color w:val="auto"/>
          <w:kern w:val="2"/>
          <w:sz w:val="28"/>
          <w:szCs w:val="28"/>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）上限为0.50元/千瓦时，前述所有价格均含税。</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供应商填报的固定价格</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w:t>
      </w:r>
      <w:r>
        <w:rPr>
          <w:rFonts w:hint="eastAsia" w:ascii="仿宋_GB2312" w:hAnsi="仿宋_GB2312" w:eastAsia="仿宋_GB2312" w:cs="仿宋_GB2312"/>
          <w:b w:val="0"/>
          <w:i w:val="0"/>
          <w:color w:val="auto"/>
          <w:kern w:val="2"/>
          <w:sz w:val="28"/>
          <w:szCs w:val="28"/>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rPr>
        <w:t>不得高于本项目</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lang w:val="en-US" w:eastAsia="zh-CN"/>
        </w:rPr>
        <w:t>上限价</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rPr>
        <w:t>，</w:t>
      </w:r>
      <w:r>
        <w:rPr>
          <w:rFonts w:hint="eastAsia" w:ascii="仿宋_GB2312" w:hAnsi="仿宋_GB2312" w:eastAsia="仿宋_GB2312" w:cs="仿宋_GB2312"/>
          <w:b w:val="0"/>
          <w:i w:val="0"/>
          <w:color w:val="auto"/>
          <w:spacing w:val="0"/>
          <w:w w:val="100"/>
          <w:sz w:val="28"/>
          <w:szCs w:val="28"/>
          <w:highlight w:val="none"/>
          <w:shd w:val="clear" w:color="auto" w:fill="FFFFFF"/>
          <w:vertAlign w:val="baseline"/>
          <w:lang w:val="en-US" w:eastAsia="zh-CN"/>
        </w:rPr>
        <w:t>也不得低于企业成本价，否则视为无效报价。采购人</w:t>
      </w:r>
      <w:r>
        <w:rPr>
          <w:rFonts w:hint="eastAsia" w:ascii="仿宋_GB2312" w:hAnsi="仿宋_GB2312" w:eastAsia="仿宋_GB2312" w:cs="仿宋_GB2312"/>
          <w:color w:val="auto"/>
          <w:sz w:val="28"/>
          <w:szCs w:val="28"/>
          <w:highlight w:val="none"/>
          <w:shd w:val="clear" w:color="auto" w:fill="FFFFFF"/>
        </w:rPr>
        <w:t>发现</w:t>
      </w:r>
      <w:r>
        <w:rPr>
          <w:rFonts w:hint="eastAsia" w:ascii="仿宋_GB2312" w:hAnsi="仿宋_GB2312" w:eastAsia="仿宋_GB2312" w:cs="仿宋_GB2312"/>
          <w:color w:val="auto"/>
          <w:sz w:val="28"/>
          <w:szCs w:val="28"/>
          <w:highlight w:val="none"/>
          <w:shd w:val="clear" w:color="auto" w:fill="FFFFFF"/>
          <w:lang w:val="en-US" w:eastAsia="zh-CN"/>
        </w:rPr>
        <w:t>供应商</w:t>
      </w:r>
      <w:r>
        <w:rPr>
          <w:rFonts w:hint="eastAsia" w:ascii="仿宋_GB2312" w:hAnsi="仿宋_GB2312" w:eastAsia="仿宋_GB2312" w:cs="仿宋_GB2312"/>
          <w:color w:val="auto"/>
          <w:sz w:val="28"/>
          <w:szCs w:val="28"/>
          <w:highlight w:val="none"/>
          <w:shd w:val="clear" w:color="auto" w:fill="FFFFFF"/>
        </w:rPr>
        <w:t>的报价明显低于其他报价，或者</w:t>
      </w:r>
      <w:r>
        <w:rPr>
          <w:rFonts w:hint="eastAsia" w:ascii="仿宋_GB2312" w:hAnsi="仿宋_GB2312" w:eastAsia="仿宋_GB2312" w:cs="仿宋_GB2312"/>
          <w:color w:val="auto"/>
          <w:sz w:val="28"/>
          <w:szCs w:val="28"/>
          <w:highlight w:val="none"/>
          <w:shd w:val="clear" w:color="auto" w:fill="FFFFFF"/>
          <w:lang w:val="en-US" w:eastAsia="zh-CN"/>
        </w:rPr>
        <w:t>低于电力市场价的，且供应商</w:t>
      </w:r>
      <w:r>
        <w:rPr>
          <w:rFonts w:hint="eastAsia" w:ascii="仿宋_GB2312" w:hAnsi="仿宋_GB2312" w:eastAsia="仿宋_GB2312" w:cs="仿宋_GB2312"/>
          <w:color w:val="auto"/>
          <w:sz w:val="28"/>
          <w:szCs w:val="28"/>
          <w:highlight w:val="none"/>
          <w:shd w:val="clear" w:color="auto" w:fill="FFFFFF"/>
        </w:rPr>
        <w:t>不能合理说明或者不能提供相应证明材料的，</w:t>
      </w:r>
      <w:r>
        <w:rPr>
          <w:rFonts w:hint="eastAsia" w:ascii="仿宋_GB2312" w:hAnsi="仿宋_GB2312" w:eastAsia="仿宋_GB2312" w:cs="仿宋_GB2312"/>
          <w:color w:val="auto"/>
          <w:sz w:val="28"/>
          <w:szCs w:val="28"/>
          <w:highlight w:val="none"/>
          <w:shd w:val="clear" w:color="auto" w:fill="FFFFFF"/>
          <w:lang w:val="en-US" w:eastAsia="zh-CN"/>
        </w:rPr>
        <w:t>采购人</w:t>
      </w:r>
      <w:r>
        <w:rPr>
          <w:rFonts w:hint="eastAsia" w:ascii="仿宋_GB2312" w:hAnsi="仿宋_GB2312" w:eastAsia="仿宋_GB2312" w:cs="仿宋_GB2312"/>
          <w:color w:val="auto"/>
          <w:sz w:val="28"/>
          <w:szCs w:val="28"/>
          <w:highlight w:val="none"/>
          <w:shd w:val="clear" w:color="auto" w:fill="FFFFFF"/>
        </w:rPr>
        <w:t>认定该</w:t>
      </w:r>
      <w:r>
        <w:rPr>
          <w:rFonts w:hint="eastAsia" w:ascii="仿宋_GB2312" w:hAnsi="仿宋_GB2312" w:eastAsia="仿宋_GB2312" w:cs="仿宋_GB2312"/>
          <w:color w:val="auto"/>
          <w:sz w:val="28"/>
          <w:szCs w:val="28"/>
          <w:highlight w:val="none"/>
          <w:shd w:val="clear" w:color="auto" w:fill="FFFFFF"/>
          <w:lang w:val="en-US" w:eastAsia="zh-CN"/>
        </w:rPr>
        <w:t>供应商</w:t>
      </w:r>
      <w:r>
        <w:rPr>
          <w:rFonts w:hint="eastAsia" w:ascii="仿宋_GB2312" w:hAnsi="仿宋_GB2312" w:eastAsia="仿宋_GB2312" w:cs="仿宋_GB2312"/>
          <w:color w:val="auto"/>
          <w:sz w:val="28"/>
          <w:szCs w:val="28"/>
          <w:highlight w:val="none"/>
          <w:shd w:val="clear" w:color="auto" w:fill="FFFFFF"/>
        </w:rPr>
        <w:t>以低于成本</w:t>
      </w:r>
      <w:r>
        <w:rPr>
          <w:rFonts w:hint="eastAsia" w:ascii="仿宋_GB2312" w:hAnsi="仿宋_GB2312" w:eastAsia="仿宋_GB2312" w:cs="仿宋_GB2312"/>
          <w:color w:val="auto"/>
          <w:sz w:val="28"/>
          <w:szCs w:val="28"/>
          <w:highlight w:val="none"/>
          <w:shd w:val="clear" w:color="auto" w:fill="FFFFFF"/>
          <w:lang w:val="en-US" w:eastAsia="zh-CN"/>
        </w:rPr>
        <w:t>价报价</w:t>
      </w:r>
      <w:r>
        <w:rPr>
          <w:rFonts w:hint="eastAsia" w:ascii="仿宋_GB2312" w:hAnsi="仿宋_GB2312" w:eastAsia="仿宋_GB2312" w:cs="仿宋_GB2312"/>
          <w:color w:val="auto"/>
          <w:sz w:val="28"/>
          <w:szCs w:val="28"/>
          <w:highlight w:val="none"/>
          <w:shd w:val="clear" w:color="auto" w:fill="FFFFFF"/>
        </w:rPr>
        <w:t>，否决其</w:t>
      </w:r>
      <w:r>
        <w:rPr>
          <w:rFonts w:hint="eastAsia" w:ascii="仿宋_GB2312" w:hAnsi="仿宋_GB2312" w:eastAsia="仿宋_GB2312" w:cs="仿宋_GB2312"/>
          <w:color w:val="auto"/>
          <w:sz w:val="28"/>
          <w:szCs w:val="28"/>
          <w:highlight w:val="none"/>
          <w:shd w:val="clear" w:color="auto" w:fill="FFFFFF"/>
          <w:lang w:val="en-US" w:eastAsia="zh-CN"/>
        </w:rPr>
        <w:t>报价</w:t>
      </w:r>
      <w:r>
        <w:rPr>
          <w:rFonts w:hint="eastAsia" w:ascii="仿宋_GB2312" w:hAnsi="仿宋_GB2312" w:eastAsia="仿宋_GB2312" w:cs="仿宋_GB2312"/>
          <w:color w:val="auto"/>
          <w:sz w:val="28"/>
          <w:szCs w:val="28"/>
          <w:highlight w:val="none"/>
          <w:shd w:val="clear" w:color="auto" w:fill="FFFFFF"/>
        </w:rPr>
        <w:t>。</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eastAsia" w:ascii="仿宋_GB2312" w:hAnsi="仿宋_GB2312" w:eastAsia="仿宋_GB2312" w:cs="仿宋_GB2312"/>
          <w:i w:val="0"/>
          <w:caps w:val="0"/>
          <w:color w:val="auto"/>
          <w:spacing w:val="0"/>
          <w:sz w:val="28"/>
          <w:szCs w:val="28"/>
          <w:highlight w:val="none"/>
          <w:shd w:val="clear" w:color="auto" w:fill="FFFFFF"/>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i w:val="0"/>
          <w:caps w:val="0"/>
          <w:color w:val="auto"/>
          <w:spacing w:val="0"/>
          <w:sz w:val="28"/>
          <w:szCs w:val="28"/>
          <w:highlight w:val="none"/>
          <w:shd w:val="clear" w:color="auto" w:fill="FFFFFF"/>
        </w:rPr>
        <w:t>承包方式：</w:t>
      </w:r>
      <w:r>
        <w:rPr>
          <w:rFonts w:hint="eastAsia" w:ascii="仿宋_GB2312" w:hAnsi="仿宋_GB2312" w:eastAsia="仿宋_GB2312" w:cs="仿宋_GB2312"/>
          <w:bCs w:val="0"/>
          <w:color w:val="auto"/>
          <w:sz w:val="28"/>
          <w:szCs w:val="28"/>
          <w:highlight w:val="none"/>
          <w:shd w:val="clear" w:color="auto" w:fill="FFFFFF"/>
          <w:lang w:val="en-US" w:eastAsia="zh-CN"/>
        </w:rPr>
        <w:t>按实际电量计算，采用“</w:t>
      </w:r>
      <w:r>
        <w:rPr>
          <w:rFonts w:hint="eastAsia" w:ascii="仿宋_GB2312" w:hAnsi="仿宋_GB2312" w:eastAsia="仿宋_GB2312" w:cs="仿宋_GB2312"/>
          <w:bCs w:val="0"/>
          <w:color w:val="auto"/>
          <w:sz w:val="28"/>
          <w:szCs w:val="28"/>
          <w:highlight w:val="none"/>
          <w:u w:val="none"/>
          <w:shd w:val="clear" w:color="auto" w:fill="FFFFFF"/>
        </w:rPr>
        <w:t>固定价格+市场联动</w:t>
      </w:r>
      <w:r>
        <w:rPr>
          <w:rFonts w:hint="eastAsia" w:ascii="仿宋_GB2312" w:hAnsi="仿宋_GB2312" w:eastAsia="仿宋_GB2312" w:cs="仿宋_GB2312"/>
          <w:bCs w:val="0"/>
          <w:color w:val="auto"/>
          <w:sz w:val="28"/>
          <w:szCs w:val="28"/>
          <w:highlight w:val="none"/>
          <w:u w:val="none"/>
          <w:shd w:val="clear" w:color="auto" w:fill="FFFFFF"/>
          <w:lang w:eastAsia="zh-CN"/>
        </w:rPr>
        <w:t>（</w:t>
      </w:r>
      <w:r>
        <w:rPr>
          <w:rFonts w:hint="eastAsia" w:ascii="仿宋_GB2312" w:hAnsi="仿宋_GB2312" w:eastAsia="仿宋_GB2312" w:cs="仿宋_GB2312"/>
          <w:bCs w:val="0"/>
          <w:color w:val="auto"/>
          <w:sz w:val="28"/>
          <w:szCs w:val="28"/>
          <w:highlight w:val="none"/>
          <w:u w:val="none"/>
          <w:shd w:val="clear" w:color="auto" w:fill="FFFFFF"/>
          <w:lang w:val="en-US" w:eastAsia="zh-CN"/>
        </w:rPr>
        <w:t>日前市场月度综合价</w:t>
      </w:r>
      <w:r>
        <w:rPr>
          <w:rFonts w:hint="eastAsia" w:ascii="仿宋_GB2312" w:hAnsi="仿宋_GB2312" w:eastAsia="仿宋_GB2312" w:cs="仿宋_GB2312"/>
          <w:bCs w:val="0"/>
          <w:color w:val="auto"/>
          <w:sz w:val="28"/>
          <w:szCs w:val="28"/>
          <w:highlight w:val="none"/>
          <w:u w:val="none"/>
          <w:shd w:val="clear" w:color="auto" w:fill="FFFFFF"/>
          <w:lang w:eastAsia="zh-CN"/>
        </w:rPr>
        <w:t>）</w:t>
      </w:r>
      <w:r>
        <w:rPr>
          <w:rFonts w:hint="eastAsia" w:ascii="仿宋_GB2312" w:hAnsi="仿宋_GB2312" w:eastAsia="仿宋_GB2312" w:cs="仿宋_GB2312"/>
          <w:bCs w:val="0"/>
          <w:color w:val="auto"/>
          <w:sz w:val="28"/>
          <w:szCs w:val="28"/>
          <w:highlight w:val="none"/>
          <w:shd w:val="clear" w:color="auto" w:fill="FFFFFF"/>
          <w:lang w:val="en-US" w:eastAsia="zh-CN"/>
        </w:rPr>
        <w:t>”模式结算</w:t>
      </w:r>
      <w:r>
        <w:rPr>
          <w:rFonts w:hint="eastAsia" w:ascii="仿宋_GB2312" w:hAnsi="仿宋_GB2312" w:eastAsia="仿宋_GB2312" w:cs="仿宋_GB2312"/>
          <w:bCs w:val="0"/>
          <w:color w:val="auto"/>
          <w:sz w:val="28"/>
          <w:szCs w:val="28"/>
          <w:highlight w:val="none"/>
          <w:shd w:val="clear" w:color="auto" w:fill="FFFFFF"/>
        </w:rPr>
        <w:t>。</w:t>
      </w:r>
      <w:r>
        <w:rPr>
          <w:rFonts w:hint="eastAsia" w:ascii="仿宋_GB2312" w:hAnsi="仿宋_GB2312" w:eastAsia="仿宋_GB2312" w:cs="仿宋_GB2312"/>
          <w:bCs w:val="0"/>
          <w:color w:val="auto"/>
          <w:sz w:val="28"/>
          <w:szCs w:val="28"/>
          <w:highlight w:val="none"/>
          <w:shd w:val="clear" w:color="auto" w:fill="FFFFFF"/>
          <w:lang w:val="en-US" w:eastAsia="zh-CN"/>
        </w:rPr>
        <w:t>其中：固定价格部分实际用电量占比为90%；市场联动部分实际用电量占比为10%。</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13" w:leftChars="6" w:right="0" w:rightChars="0" w:firstLine="534" w:firstLineChars="191"/>
        <w:jc w:val="left"/>
        <w:textAlignment w:val="auto"/>
        <w:outlineLvl w:val="9"/>
        <w:rPr>
          <w:rFonts w:hint="default"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w:t>
      </w:r>
      <w:r>
        <w:rPr>
          <w:rFonts w:hint="eastAsia" w:ascii="仿宋_GB2312" w:hAnsi="仿宋_GB2312" w:eastAsia="仿宋_GB2312" w:cs="仿宋_GB2312"/>
          <w:color w:val="auto"/>
          <w:spacing w:val="-6"/>
          <w:kern w:val="0"/>
          <w:sz w:val="28"/>
          <w:szCs w:val="28"/>
          <w:highlight w:val="none"/>
          <w:lang w:val="en-US" w:eastAsia="zh-CN" w:bidi="ar"/>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本报价须包含完成本项目的应预见和不可预见的费用、相关税费、规费以及企业利润等，请各报价单位根据实际情况报价。</w:t>
      </w:r>
    </w:p>
    <w:p>
      <w:pPr>
        <w:keepNext w:val="0"/>
        <w:keepLines w:val="0"/>
        <w:pageBreakBefore w:val="0"/>
        <w:numPr>
          <w:ilvl w:val="0"/>
          <w:numId w:val="0"/>
        </w:numPr>
        <w:tabs>
          <w:tab w:val="left" w:pos="420"/>
        </w:tabs>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val="en-US" w:eastAsia="zh-CN"/>
        </w:rPr>
        <w:t>七</w:t>
      </w:r>
      <w:r>
        <w:rPr>
          <w:rFonts w:hint="eastAsia" w:ascii="黑体" w:hAnsi="黑体" w:eastAsia="黑体" w:cs="黑体"/>
          <w:b/>
          <w:bCs/>
          <w:color w:val="auto"/>
          <w:sz w:val="28"/>
          <w:szCs w:val="28"/>
          <w:highlight w:val="none"/>
          <w:lang w:eastAsia="zh-CN"/>
        </w:rPr>
        <w:t>、</w:t>
      </w:r>
      <w:r>
        <w:rPr>
          <w:rFonts w:hint="eastAsia" w:ascii="黑体" w:hAnsi="黑体" w:eastAsia="黑体" w:cs="黑体"/>
          <w:b/>
          <w:bCs/>
          <w:color w:val="auto"/>
          <w:sz w:val="28"/>
          <w:szCs w:val="28"/>
          <w:highlight w:val="none"/>
          <w:lang w:val="en-US" w:eastAsia="zh-CN"/>
        </w:rPr>
        <w:t>响应文件的开启及</w:t>
      </w:r>
      <w:r>
        <w:rPr>
          <w:rFonts w:hint="eastAsia" w:ascii="黑体" w:hAnsi="黑体" w:eastAsia="黑体" w:cs="黑体"/>
          <w:b/>
          <w:bCs/>
          <w:color w:val="auto"/>
          <w:sz w:val="28"/>
          <w:szCs w:val="28"/>
          <w:highlight w:val="none"/>
        </w:rPr>
        <w:t>评</w:t>
      </w:r>
      <w:r>
        <w:rPr>
          <w:rFonts w:hint="eastAsia" w:ascii="黑体" w:hAnsi="黑体" w:eastAsia="黑体" w:cs="黑体"/>
          <w:b/>
          <w:bCs/>
          <w:color w:val="auto"/>
          <w:sz w:val="28"/>
          <w:szCs w:val="28"/>
          <w:highlight w:val="none"/>
          <w:lang w:val="en-US" w:eastAsia="zh-CN"/>
        </w:rPr>
        <w:t>审</w:t>
      </w:r>
      <w:r>
        <w:rPr>
          <w:rFonts w:hint="eastAsia" w:ascii="黑体" w:hAnsi="黑体" w:eastAsia="黑体" w:cs="黑体"/>
          <w:b/>
          <w:bCs/>
          <w:color w:val="auto"/>
          <w:sz w:val="28"/>
          <w:szCs w:val="28"/>
          <w:highlight w:val="none"/>
        </w:rPr>
        <w:t>方法</w:t>
      </w:r>
    </w:p>
    <w:p>
      <w:pPr>
        <w:keepNext w:val="0"/>
        <w:keepLines w:val="0"/>
        <w:pageBreakBefore w:val="0"/>
        <w:kinsoku/>
        <w:wordWrap/>
        <w:overflowPunct/>
        <w:topLinePunct w:val="0"/>
        <w:autoSpaceDE/>
        <w:bidi w:val="0"/>
        <w:snapToGrid w:val="0"/>
        <w:spacing w:line="360" w:lineRule="auto"/>
        <w:ind w:firstLine="560" w:firstLineChars="200"/>
        <w:textAlignment w:val="auto"/>
        <w:rPr>
          <w:rFonts w:hint="default" w:ascii="仿宋_GB2312" w:hAnsi="仿宋_GB2312" w:eastAsia="仿宋_GB2312" w:cs="仿宋_GB2312"/>
          <w:i w:val="0"/>
          <w:caps w:val="0"/>
          <w:color w:val="auto"/>
          <w:spacing w:val="0"/>
          <w:sz w:val="28"/>
          <w:szCs w:val="28"/>
          <w:highlight w:val="none"/>
          <w:shd w:val="clear" w:color="auto" w:fill="FFFFFF"/>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w:t>
      </w:r>
      <w:r>
        <w:rPr>
          <w:rFonts w:hint="eastAsia" w:ascii="仿宋_GB2312" w:hAnsi="仿宋_GB2312" w:eastAsia="仿宋_GB2312" w:cs="仿宋_GB2312"/>
          <w:bCs w:val="0"/>
          <w:color w:val="auto"/>
          <w:sz w:val="28"/>
          <w:szCs w:val="28"/>
          <w:highlight w:val="none"/>
          <w:shd w:val="clear" w:color="auto" w:fill="FFFFFF"/>
          <w:lang w:val="en-US" w:eastAsia="zh-CN"/>
        </w:rPr>
        <w:t>响应文件开启前</w:t>
      </w:r>
      <w:r>
        <w:rPr>
          <w:rFonts w:hint="eastAsia" w:ascii="仿宋_GB2312" w:hAnsi="仿宋_GB2312" w:eastAsia="仿宋_GB2312" w:cs="仿宋_GB2312"/>
          <w:bCs w:val="0"/>
          <w:color w:val="auto"/>
          <w:sz w:val="28"/>
          <w:szCs w:val="28"/>
          <w:highlight w:val="none"/>
          <w:shd w:val="clear" w:color="auto" w:fill="FFFFFF"/>
        </w:rPr>
        <w:t>，对全部</w:t>
      </w:r>
      <w:r>
        <w:rPr>
          <w:rFonts w:hint="eastAsia" w:ascii="仿宋_GB2312" w:hAnsi="仿宋_GB2312" w:eastAsia="仿宋_GB2312" w:cs="仿宋_GB2312"/>
          <w:bCs w:val="0"/>
          <w:color w:val="auto"/>
          <w:sz w:val="28"/>
          <w:szCs w:val="28"/>
          <w:highlight w:val="none"/>
          <w:shd w:val="clear" w:color="auto" w:fill="FFFFFF"/>
          <w:lang w:val="en-US" w:eastAsia="zh-CN"/>
        </w:rPr>
        <w:t>响应</w:t>
      </w:r>
      <w:r>
        <w:rPr>
          <w:rFonts w:hint="eastAsia" w:ascii="仿宋_GB2312" w:hAnsi="仿宋_GB2312" w:eastAsia="仿宋_GB2312" w:cs="仿宋_GB2312"/>
          <w:bCs w:val="0"/>
          <w:color w:val="auto"/>
          <w:sz w:val="28"/>
          <w:szCs w:val="28"/>
          <w:highlight w:val="none"/>
          <w:shd w:val="clear" w:color="auto" w:fill="FFFFFF"/>
        </w:rPr>
        <w:t>文件的密封情况进行当众检查。经检查未按要求密封的</w:t>
      </w:r>
      <w:r>
        <w:rPr>
          <w:rFonts w:hint="eastAsia" w:ascii="仿宋_GB2312" w:hAnsi="仿宋_GB2312" w:eastAsia="仿宋_GB2312" w:cs="仿宋_GB2312"/>
          <w:bCs w:val="0"/>
          <w:color w:val="auto"/>
          <w:sz w:val="28"/>
          <w:szCs w:val="28"/>
          <w:highlight w:val="none"/>
          <w:shd w:val="clear" w:color="auto" w:fill="FFFFFF"/>
          <w:lang w:val="en-US" w:eastAsia="zh-CN"/>
        </w:rPr>
        <w:t>响应</w:t>
      </w:r>
      <w:r>
        <w:rPr>
          <w:rFonts w:hint="eastAsia" w:ascii="仿宋_GB2312" w:hAnsi="仿宋_GB2312" w:eastAsia="仿宋_GB2312" w:cs="仿宋_GB2312"/>
          <w:bCs w:val="0"/>
          <w:color w:val="auto"/>
          <w:sz w:val="28"/>
          <w:szCs w:val="28"/>
          <w:highlight w:val="none"/>
          <w:shd w:val="clear" w:color="auto" w:fill="FFFFFF"/>
        </w:rPr>
        <w:t>文件不予启封并现场退还。对经检查密封完好的</w:t>
      </w:r>
      <w:r>
        <w:rPr>
          <w:rFonts w:hint="eastAsia" w:ascii="仿宋_GB2312" w:hAnsi="仿宋_GB2312" w:eastAsia="仿宋_GB2312" w:cs="仿宋_GB2312"/>
          <w:bCs w:val="0"/>
          <w:color w:val="auto"/>
          <w:sz w:val="28"/>
          <w:szCs w:val="28"/>
          <w:highlight w:val="none"/>
          <w:shd w:val="clear" w:color="auto" w:fill="FFFFFF"/>
          <w:lang w:val="en-US" w:eastAsia="zh-CN"/>
        </w:rPr>
        <w:t>响应</w:t>
      </w:r>
      <w:r>
        <w:rPr>
          <w:rFonts w:hint="eastAsia" w:ascii="仿宋_GB2312" w:hAnsi="仿宋_GB2312" w:eastAsia="仿宋_GB2312" w:cs="仿宋_GB2312"/>
          <w:bCs w:val="0"/>
          <w:color w:val="auto"/>
          <w:sz w:val="28"/>
          <w:szCs w:val="28"/>
          <w:highlight w:val="none"/>
          <w:shd w:val="clear" w:color="auto" w:fill="FFFFFF"/>
        </w:rPr>
        <w:t>文件进行启封</w:t>
      </w:r>
      <w:r>
        <w:rPr>
          <w:rFonts w:hint="eastAsia" w:ascii="仿宋_GB2312" w:hAnsi="仿宋_GB2312" w:eastAsia="仿宋_GB2312" w:cs="仿宋_GB2312"/>
          <w:bCs w:val="0"/>
          <w:color w:val="auto"/>
          <w:sz w:val="28"/>
          <w:szCs w:val="28"/>
          <w:highlight w:val="none"/>
          <w:shd w:val="clear" w:color="auto" w:fill="FFFFFF"/>
          <w:lang w:val="en-US" w:eastAsia="zh-CN"/>
        </w:rPr>
        <w:t>并宣读报价，并在开启记录表上签名确认。</w:t>
      </w:r>
    </w:p>
    <w:p>
      <w:pPr>
        <w:keepNext w:val="0"/>
        <w:keepLines w:val="0"/>
        <w:pageBreakBefore w:val="0"/>
        <w:kinsoku/>
        <w:wordWrap/>
        <w:overflowPunct/>
        <w:topLinePunct w:val="0"/>
        <w:autoSpaceDE/>
        <w:bidi w:val="0"/>
        <w:snapToGrid w:val="0"/>
        <w:spacing w:line="360" w:lineRule="auto"/>
        <w:ind w:firstLine="560" w:firstLineChars="200"/>
        <w:textAlignment w:val="auto"/>
        <w:rPr>
          <w:rFonts w:ascii="仿宋_GB2312" w:hAnsi="仿宋" w:eastAsia="仿宋_GB2312"/>
          <w:color w:val="auto"/>
          <w:spacing w:val="-6"/>
          <w:kern w:val="0"/>
          <w:sz w:val="28"/>
          <w:szCs w:val="28"/>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2、本项目以合理最低价法选择售电单位。如供应商填报的固定价格相同，则采用随机摇珠抽取。</w:t>
      </w:r>
    </w:p>
    <w:p>
      <w:pPr>
        <w:keepNext w:val="0"/>
        <w:keepLines w:val="0"/>
        <w:pageBreakBefore w:val="0"/>
        <w:numPr>
          <w:ilvl w:val="255"/>
          <w:numId w:val="0"/>
        </w:numPr>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eastAsia="zh-CN"/>
        </w:rPr>
        <w:t>八</w:t>
      </w:r>
      <w:r>
        <w:rPr>
          <w:rFonts w:hint="eastAsia" w:ascii="黑体" w:hAnsi="黑体" w:eastAsia="黑体" w:cs="黑体"/>
          <w:b/>
          <w:bCs/>
          <w:color w:val="auto"/>
          <w:sz w:val="28"/>
          <w:szCs w:val="28"/>
          <w:highlight w:val="none"/>
        </w:rPr>
        <w:t>、</w:t>
      </w:r>
      <w:r>
        <w:rPr>
          <w:rFonts w:hint="eastAsia" w:ascii="黑体" w:hAnsi="黑体" w:eastAsia="黑体" w:cs="黑体"/>
          <w:b/>
          <w:bCs/>
          <w:color w:val="auto"/>
          <w:sz w:val="28"/>
          <w:szCs w:val="28"/>
          <w:highlight w:val="none"/>
          <w:lang w:val="en-US" w:eastAsia="zh-CN"/>
        </w:rPr>
        <w:t>合同的签订、承包方式、付款方式等</w:t>
      </w:r>
    </w:p>
    <w:p>
      <w:pPr>
        <w:keepNext w:val="0"/>
        <w:keepLines w:val="0"/>
        <w:pageBreakBefore w:val="0"/>
        <w:kinsoku/>
        <w:wordWrap/>
        <w:overflowPunct/>
        <w:topLinePunct w:val="0"/>
        <w:autoSpaceDE/>
        <w:bidi w:val="0"/>
        <w:snapToGrid w:val="0"/>
        <w:spacing w:line="360" w:lineRule="auto"/>
        <w:ind w:firstLine="536" w:firstLineChars="200"/>
        <w:textAlignment w:val="auto"/>
        <w:rPr>
          <w:rFonts w:hint="eastAsia" w:ascii="仿宋_GB2312" w:hAnsi="仿宋" w:eastAsia="仿宋_GB2312" w:cs="Times New Roman"/>
          <w:color w:val="auto"/>
          <w:spacing w:val="-6"/>
          <w:kern w:val="0"/>
          <w:sz w:val="28"/>
          <w:szCs w:val="28"/>
          <w:highlight w:val="none"/>
          <w:lang w:val="en-US" w:eastAsia="zh-CN"/>
        </w:rPr>
      </w:pPr>
      <w:r>
        <w:rPr>
          <w:rFonts w:hint="eastAsia" w:ascii="仿宋_GB2312" w:hAnsi="仿宋" w:eastAsia="仿宋_GB2312" w:cs="Times New Roman"/>
          <w:color w:val="auto"/>
          <w:spacing w:val="-6"/>
          <w:kern w:val="0"/>
          <w:sz w:val="28"/>
          <w:szCs w:val="28"/>
          <w:highlight w:val="none"/>
          <w:lang w:val="en-US" w:eastAsia="zh-CN"/>
        </w:rPr>
        <w:t>1、</w:t>
      </w:r>
      <w:r>
        <w:rPr>
          <w:rFonts w:hint="eastAsia" w:ascii="仿宋_GB2312" w:hAnsi="仿宋" w:eastAsia="仿宋_GB2312" w:cs="Times New Roman"/>
          <w:color w:val="auto"/>
          <w:spacing w:val="-6"/>
          <w:kern w:val="0"/>
          <w:sz w:val="28"/>
          <w:szCs w:val="28"/>
          <w:highlight w:val="none"/>
        </w:rPr>
        <w:t>采购人在确定</w:t>
      </w:r>
      <w:r>
        <w:rPr>
          <w:rFonts w:hint="eastAsia" w:ascii="仿宋_GB2312" w:hAnsi="仿宋" w:eastAsia="仿宋_GB2312" w:cs="Times New Roman"/>
          <w:color w:val="auto"/>
          <w:spacing w:val="-6"/>
          <w:kern w:val="0"/>
          <w:sz w:val="28"/>
          <w:szCs w:val="28"/>
          <w:highlight w:val="none"/>
          <w:lang w:val="en-US" w:eastAsia="zh-CN"/>
        </w:rPr>
        <w:t>中选单位</w:t>
      </w:r>
      <w:r>
        <w:rPr>
          <w:rFonts w:hint="eastAsia" w:ascii="仿宋_GB2312" w:hAnsi="仿宋" w:eastAsia="仿宋_GB2312" w:cs="Times New Roman"/>
          <w:color w:val="auto"/>
          <w:spacing w:val="-6"/>
          <w:kern w:val="0"/>
          <w:sz w:val="28"/>
          <w:szCs w:val="28"/>
          <w:highlight w:val="none"/>
        </w:rPr>
        <w:t>后向</w:t>
      </w:r>
      <w:r>
        <w:rPr>
          <w:rFonts w:hint="eastAsia" w:ascii="仿宋_GB2312" w:hAnsi="仿宋" w:eastAsia="仿宋_GB2312" w:cs="Times New Roman"/>
          <w:color w:val="auto"/>
          <w:spacing w:val="-6"/>
          <w:kern w:val="0"/>
          <w:sz w:val="28"/>
          <w:szCs w:val="28"/>
          <w:highlight w:val="none"/>
          <w:lang w:val="en-US" w:eastAsia="zh-CN"/>
        </w:rPr>
        <w:t>中选单位</w:t>
      </w:r>
      <w:r>
        <w:rPr>
          <w:rFonts w:hint="eastAsia" w:ascii="仿宋_GB2312" w:hAnsi="仿宋" w:eastAsia="仿宋_GB2312" w:cs="Times New Roman"/>
          <w:color w:val="auto"/>
          <w:spacing w:val="-6"/>
          <w:kern w:val="0"/>
          <w:sz w:val="28"/>
          <w:szCs w:val="28"/>
          <w:highlight w:val="none"/>
        </w:rPr>
        <w:t>发出成交通知书，</w:t>
      </w:r>
      <w:r>
        <w:rPr>
          <w:rFonts w:hint="eastAsia" w:ascii="仿宋_GB2312" w:hAnsi="仿宋" w:eastAsia="仿宋_GB2312" w:cs="Times New Roman"/>
          <w:color w:val="auto"/>
          <w:spacing w:val="-6"/>
          <w:kern w:val="0"/>
          <w:sz w:val="28"/>
          <w:szCs w:val="28"/>
          <w:highlight w:val="none"/>
          <w:lang w:val="en-US" w:eastAsia="zh-CN"/>
        </w:rPr>
        <w:t>并与中选单位在“广东电力交易中心”平台签订交易合同，中选单位应按照采购人及“广东电力交易中心”平台相关要求与采购人办理合同签订手续</w:t>
      </w:r>
      <w:r>
        <w:rPr>
          <w:rFonts w:hint="eastAsia" w:ascii="仿宋_GB2312" w:hAnsi="仿宋" w:eastAsia="仿宋_GB2312" w:cs="Times New Roman"/>
          <w:color w:val="auto"/>
          <w:spacing w:val="-6"/>
          <w:kern w:val="0"/>
          <w:sz w:val="28"/>
          <w:szCs w:val="28"/>
          <w:highlight w:val="none"/>
        </w:rPr>
        <w:t>。</w:t>
      </w:r>
      <w:r>
        <w:rPr>
          <w:rFonts w:hint="eastAsia" w:ascii="仿宋_GB2312" w:hAnsi="仿宋" w:eastAsia="仿宋_GB2312" w:cs="Times New Roman"/>
          <w:color w:val="auto"/>
          <w:spacing w:val="-6"/>
          <w:kern w:val="0"/>
          <w:sz w:val="28"/>
          <w:szCs w:val="28"/>
          <w:highlight w:val="none"/>
          <w:lang w:val="en-US" w:eastAsia="zh-CN"/>
        </w:rPr>
        <w:t>合同书模板详见“2024年广东电力市场售电公司与电力用户零售交易合同（范本）”（以下简称“合同范本”）。</w:t>
      </w:r>
    </w:p>
    <w:p>
      <w:pPr>
        <w:keepNext w:val="0"/>
        <w:keepLines w:val="0"/>
        <w:pageBreakBefore w:val="0"/>
        <w:widowControl/>
        <w:kinsoku/>
        <w:wordWrap/>
        <w:overflowPunct/>
        <w:topLinePunct w:val="0"/>
        <w:autoSpaceDE/>
        <w:autoSpaceDN/>
        <w:bidi w:val="0"/>
        <w:adjustRightInd/>
        <w:snapToGrid w:val="0"/>
        <w:spacing w:line="360" w:lineRule="auto"/>
        <w:ind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rPr>
      </w:pPr>
      <w:r>
        <w:rPr>
          <w:rFonts w:hint="eastAsia" w:ascii="仿宋_GB2312" w:hAnsi="仿宋" w:eastAsia="仿宋_GB2312" w:cs="Times New Roman"/>
          <w:color w:val="auto"/>
          <w:spacing w:val="-6"/>
          <w:kern w:val="0"/>
          <w:sz w:val="28"/>
          <w:szCs w:val="28"/>
          <w:highlight w:val="none"/>
        </w:rPr>
        <w:t>2、对于</w:t>
      </w:r>
      <w:r>
        <w:rPr>
          <w:rFonts w:hint="eastAsia" w:ascii="仿宋_GB2312" w:hAnsi="仿宋" w:eastAsia="仿宋_GB2312" w:cs="Times New Roman"/>
          <w:color w:val="auto"/>
          <w:spacing w:val="-6"/>
          <w:kern w:val="0"/>
          <w:sz w:val="28"/>
          <w:szCs w:val="28"/>
          <w:highlight w:val="none"/>
          <w:lang w:val="en-US" w:eastAsia="zh-CN"/>
        </w:rPr>
        <w:t>合同范本中可选择的条款，</w:t>
      </w:r>
      <w:r>
        <w:rPr>
          <w:rFonts w:hint="eastAsia" w:ascii="仿宋_GB2312" w:hAnsi="仿宋" w:eastAsia="仿宋_GB2312" w:cs="Times New Roman"/>
          <w:color w:val="auto"/>
          <w:spacing w:val="-6"/>
          <w:kern w:val="0"/>
          <w:sz w:val="28"/>
          <w:szCs w:val="28"/>
          <w:highlight w:val="none"/>
        </w:rPr>
        <w:t>为避免歧义，现对</w:t>
      </w:r>
      <w:r>
        <w:rPr>
          <w:rFonts w:hint="eastAsia" w:ascii="仿宋_GB2312" w:hAnsi="仿宋" w:eastAsia="仿宋_GB2312" w:cs="Times New Roman"/>
          <w:color w:val="auto"/>
          <w:spacing w:val="-6"/>
          <w:kern w:val="0"/>
          <w:sz w:val="28"/>
          <w:szCs w:val="28"/>
          <w:highlight w:val="none"/>
          <w:lang w:val="en-US" w:eastAsia="zh-CN"/>
        </w:rPr>
        <w:t>合同范本</w:t>
      </w:r>
      <w:r>
        <w:rPr>
          <w:rFonts w:hint="eastAsia" w:ascii="仿宋_GB2312" w:hAnsi="仿宋" w:eastAsia="仿宋_GB2312" w:cs="Times New Roman"/>
          <w:color w:val="auto"/>
          <w:spacing w:val="-6"/>
          <w:kern w:val="0"/>
          <w:sz w:val="28"/>
          <w:szCs w:val="28"/>
          <w:highlight w:val="none"/>
        </w:rPr>
        <w:t>相关内容</w:t>
      </w:r>
      <w:r>
        <w:rPr>
          <w:rFonts w:hint="eastAsia" w:ascii="仿宋_GB2312" w:hAnsi="仿宋" w:eastAsia="仿宋_GB2312" w:cs="Times New Roman"/>
          <w:color w:val="auto"/>
          <w:spacing w:val="-6"/>
          <w:kern w:val="0"/>
          <w:sz w:val="28"/>
          <w:szCs w:val="28"/>
          <w:highlight w:val="none"/>
          <w:lang w:val="en-US" w:eastAsia="zh-CN"/>
        </w:rPr>
        <w:t>约定并</w:t>
      </w:r>
      <w:r>
        <w:rPr>
          <w:rFonts w:hint="eastAsia" w:ascii="仿宋_GB2312" w:hAnsi="仿宋" w:eastAsia="仿宋_GB2312" w:cs="Times New Roman"/>
          <w:color w:val="auto"/>
          <w:spacing w:val="-6"/>
          <w:kern w:val="0"/>
          <w:sz w:val="28"/>
          <w:szCs w:val="28"/>
          <w:highlight w:val="none"/>
        </w:rPr>
        <w:t>明确如下：</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36" w:firstLineChars="200"/>
        <w:jc w:val="both"/>
        <w:textAlignment w:val="auto"/>
        <w:rPr>
          <w:rStyle w:val="21"/>
          <w:rFonts w:hint="default" w:ascii="仿宋_GB2312" w:hAnsi="仿宋" w:eastAsia="仿宋_GB2312" w:cs="Times New Roman"/>
          <w:color w:val="auto"/>
          <w:spacing w:val="-6"/>
          <w:kern w:val="0"/>
          <w:sz w:val="28"/>
          <w:szCs w:val="28"/>
          <w:highlight w:val="none"/>
          <w:lang w:eastAsia="zh-CN"/>
        </w:rPr>
      </w:pP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1</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电能量结算模式：固定价格模式+市场联动模式，其中：市场联合价格类型（平段）选择“</w:t>
      </w:r>
      <w:r>
        <w:rPr>
          <w:rFonts w:hint="eastAsia" w:ascii="仿宋_GB2312" w:hAnsi="仿宋_GB2312" w:eastAsia="仿宋_GB2312" w:cs="仿宋_GB2312"/>
          <w:bCs w:val="0"/>
          <w:color w:val="auto"/>
          <w:sz w:val="28"/>
          <w:szCs w:val="28"/>
          <w:highlight w:val="none"/>
          <w:u w:val="none"/>
          <w:shd w:val="clear" w:color="auto" w:fill="FFFFFF"/>
          <w:lang w:val="en-US" w:eastAsia="zh-CN"/>
        </w:rPr>
        <w:t>日前市场月度综合价</w:t>
      </w:r>
      <w:r>
        <w:rPr>
          <w:rStyle w:val="21"/>
          <w:rFonts w:hint="eastAsia" w:ascii="仿宋_GB2312" w:hAnsi="仿宋" w:eastAsia="仿宋_GB2312" w:cs="Times New Roman"/>
          <w:color w:val="auto"/>
          <w:spacing w:val="-6"/>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36" w:firstLineChars="200"/>
        <w:jc w:val="both"/>
        <w:textAlignment w:val="auto"/>
        <w:rPr>
          <w:rFonts w:hint="eastAsia" w:ascii="仿宋_GB2312" w:hAnsi="仿宋" w:eastAsia="仿宋_GB2312" w:cs="Times New Roman"/>
          <w:color w:val="auto"/>
          <w:spacing w:val="-6"/>
          <w:kern w:val="0"/>
          <w:sz w:val="28"/>
          <w:szCs w:val="28"/>
          <w:highlight w:val="none"/>
        </w:rPr>
      </w:pP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2</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合同范本第二章零售交易信息“五、市场风控条款（二选一）”以及“5.4</w:t>
      </w:r>
      <w:r>
        <w:rPr>
          <w:rStyle w:val="21"/>
          <w:rFonts w:hint="eastAsia" w:ascii="仿宋_GB2312" w:hAnsi="仿宋" w:eastAsia="仿宋_GB2312" w:cs="Times New Roman"/>
          <w:color w:val="auto"/>
          <w:spacing w:val="-6"/>
          <w:kern w:val="0"/>
          <w:sz w:val="28"/>
          <w:szCs w:val="28"/>
          <w:highlight w:val="none"/>
        </w:rPr>
        <w:t>市场风控条款</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二选一</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536" w:firstLineChars="200"/>
        <w:jc w:val="both"/>
        <w:textAlignment w:val="auto"/>
        <w:rPr>
          <w:rFonts w:hint="eastAsia" w:ascii="仿宋_GB2312" w:hAnsi="仿宋" w:eastAsia="仿宋_GB2312" w:cs="Times New Roman"/>
          <w:color w:val="auto"/>
          <w:spacing w:val="-6"/>
          <w:kern w:val="0"/>
          <w:sz w:val="28"/>
          <w:szCs w:val="28"/>
          <w:highlight w:val="none"/>
        </w:rPr>
      </w:pPr>
      <w:r>
        <w:rPr>
          <w:rStyle w:val="21"/>
          <w:rFonts w:hint="eastAsia" w:ascii="仿宋_GB2312" w:hAnsi="仿宋" w:eastAsia="仿宋_GB2312" w:cs="Times New Roman"/>
          <w:color w:val="auto"/>
          <w:spacing w:val="-6"/>
          <w:kern w:val="0"/>
          <w:sz w:val="28"/>
          <w:szCs w:val="28"/>
          <w:highlight w:val="none"/>
        </w:rPr>
        <w:t>为防范市场风险，当结算月份甲方平段电量结算价格（含煤电联动电费、浮</w:t>
      </w:r>
      <w:r>
        <w:rPr>
          <w:rStyle w:val="21"/>
          <w:rFonts w:hint="eastAsia" w:ascii="仿宋_GB2312" w:hAnsi="仿宋" w:eastAsia="仿宋_GB2312" w:cs="Times New Roman"/>
          <w:color w:val="auto"/>
          <w:spacing w:val="-6"/>
          <w:kern w:val="0"/>
          <w:sz w:val="28"/>
          <w:szCs w:val="28"/>
          <w:highlight w:val="none"/>
        </w:rPr>
        <w:br w:type="textWrapping"/>
      </w:r>
      <w:r>
        <w:rPr>
          <w:rStyle w:val="21"/>
          <w:rFonts w:hint="eastAsia" w:ascii="仿宋_GB2312" w:hAnsi="仿宋" w:eastAsia="仿宋_GB2312" w:cs="Times New Roman"/>
          <w:color w:val="auto"/>
          <w:spacing w:val="-6"/>
          <w:kern w:val="0"/>
          <w:sz w:val="28"/>
          <w:szCs w:val="28"/>
          <w:highlight w:val="none"/>
        </w:rPr>
        <w:t>动电费）较市场月度加权平均价超过30%或低于20%时，双方按</w:t>
      </w:r>
      <w:r>
        <w:rPr>
          <w:rFonts w:hint="eastAsia" w:ascii="仿宋_GB2312" w:hAnsi="仿宋" w:eastAsia="仿宋_GB2312" w:cs="Times New Roman"/>
          <w:color w:val="auto"/>
          <w:spacing w:val="-6"/>
          <w:kern w:val="0"/>
          <w:sz w:val="28"/>
          <w:szCs w:val="28"/>
          <w:highlight w:val="none"/>
          <w:lang w:eastAsia="zh-CN"/>
        </w:rPr>
        <w:t>合同范本</w:t>
      </w:r>
      <w:r>
        <w:rPr>
          <w:rStyle w:val="21"/>
          <w:rFonts w:hint="eastAsia" w:ascii="仿宋_GB2312" w:hAnsi="仿宋" w:eastAsia="仿宋_GB2312" w:cs="Times New Roman"/>
          <w:color w:val="auto"/>
          <w:spacing w:val="-6"/>
          <w:kern w:val="0"/>
          <w:sz w:val="28"/>
          <w:szCs w:val="28"/>
          <w:highlight w:val="none"/>
        </w:rPr>
        <w:t>第二章零售交易信息约定方式执行：</w:t>
      </w:r>
      <w:r>
        <w:rPr>
          <w:rStyle w:val="21"/>
          <w:rFonts w:hint="eastAsia" w:ascii="仿宋_GB2312" w:hAnsi="仿宋" w:eastAsia="仿宋_GB2312" w:cs="Times New Roman"/>
          <w:color w:val="auto"/>
          <w:spacing w:val="-6"/>
          <w:kern w:val="0"/>
          <w:sz w:val="28"/>
          <w:szCs w:val="28"/>
          <w:highlight w:val="none"/>
        </w:rPr>
        <w:br w:type="textWrapping"/>
      </w:r>
      <w:r>
        <w:rPr>
          <w:rFonts w:hint="eastAsia" w:ascii="仿宋_GB2312" w:hAnsi="仿宋" w:eastAsia="仿宋_GB2312" w:cs="Times New Roman"/>
          <w:color w:val="auto"/>
          <w:spacing w:val="-6"/>
          <w:kern w:val="0"/>
          <w:sz w:val="28"/>
          <w:szCs w:val="28"/>
          <w:highlight w:val="none"/>
          <w:lang w:eastAsia="zh-CN"/>
        </w:rPr>
        <w:t xml:space="preserve"> </w:t>
      </w:r>
      <w:r>
        <w:rPr>
          <w:rFonts w:hint="eastAsia" w:ascii="仿宋_GB2312" w:hAnsi="仿宋" w:eastAsia="仿宋_GB2312" w:cs="Times New Roman"/>
          <w:color w:val="auto"/>
          <w:spacing w:val="-6"/>
          <w:kern w:val="0"/>
          <w:sz w:val="28"/>
          <w:szCs w:val="28"/>
          <w:highlight w:val="none"/>
          <w:lang w:val="en-US" w:eastAsia="zh-CN"/>
        </w:rPr>
        <w:t xml:space="preserve"> </w:t>
      </w:r>
      <w:r>
        <w:rPr>
          <w:rStyle w:val="21"/>
          <w:rFonts w:hint="eastAsia" w:ascii="仿宋_GB2312" w:hAnsi="仿宋" w:eastAsia="仿宋_GB2312" w:cs="Times New Roman"/>
          <w:color w:val="auto"/>
          <w:spacing w:val="-6"/>
          <w:kern w:val="0"/>
          <w:sz w:val="28"/>
          <w:szCs w:val="28"/>
          <w:highlight w:val="none"/>
        </w:rPr>
        <w:t xml:space="preserve"> </w:t>
      </w:r>
      <w:r>
        <w:rPr>
          <w:rFonts w:hint="eastAsia" w:ascii="仿宋_GB2312" w:hAnsi="仿宋" w:eastAsia="仿宋_GB2312" w:cs="Times New Roman"/>
          <w:color w:val="auto"/>
          <w:spacing w:val="-6"/>
          <w:kern w:val="0"/>
          <w:sz w:val="28"/>
          <w:szCs w:val="28"/>
          <w:highlight w:val="none"/>
          <w:lang w:val="en-US" w:eastAsia="zh-CN"/>
        </w:rPr>
        <w:t xml:space="preserve"> </w:t>
      </w:r>
      <w:r>
        <w:rPr>
          <w:rFonts w:hint="eastAsia" w:ascii="仿宋_GB2312" w:hAnsi="仿宋" w:eastAsia="仿宋_GB2312" w:cs="Times New Roman"/>
          <w:color w:val="auto"/>
          <w:spacing w:val="-6"/>
          <w:kern w:val="0"/>
          <w:sz w:val="28"/>
          <w:szCs w:val="28"/>
          <w:highlight w:val="none"/>
          <w:bdr w:val="single" w:sz="0" w:space="0"/>
          <w:lang w:val="en-US" w:eastAsia="zh-CN"/>
        </w:rPr>
        <w:t>√</w:t>
      </w:r>
      <w:r>
        <w:rPr>
          <w:rFonts w:hint="eastAsia" w:ascii="仿宋_GB2312" w:hAnsi="仿宋" w:eastAsia="仿宋_GB2312" w:cs="Times New Roman"/>
          <w:color w:val="auto"/>
          <w:spacing w:val="-6"/>
          <w:kern w:val="0"/>
          <w:sz w:val="28"/>
          <w:szCs w:val="28"/>
          <w:highlight w:val="none"/>
          <w:lang w:val="en-US" w:eastAsia="zh-CN"/>
        </w:rPr>
        <w:t>方式一：</w:t>
      </w:r>
      <w:r>
        <w:rPr>
          <w:rStyle w:val="21"/>
          <w:rFonts w:hint="eastAsia" w:ascii="仿宋_GB2312" w:hAnsi="仿宋" w:eastAsia="仿宋_GB2312" w:cs="Times New Roman"/>
          <w:color w:val="auto"/>
          <w:spacing w:val="-6"/>
          <w:kern w:val="0"/>
          <w:sz w:val="28"/>
          <w:szCs w:val="28"/>
          <w:highlight w:val="none"/>
        </w:rPr>
        <w:t>超额电费共担条款：甲方平段电量结算价格较市场月度加权平均价超出30%部分的费用由乙方承担，低于20%部分的费用由甲方返还给乙方。</w:t>
      </w:r>
      <w:r>
        <w:rPr>
          <w:rFonts w:hint="eastAsia" w:ascii="仿宋_GB2312" w:hAnsi="仿宋" w:eastAsia="仿宋_GB2312" w:cs="Times New Roman"/>
          <w:color w:val="auto"/>
          <w:spacing w:val="-6"/>
          <w:kern w:val="0"/>
          <w:sz w:val="28"/>
          <w:szCs w:val="28"/>
          <w:highlight w:val="none"/>
        </w:rPr>
        <w:t xml:space="preserve"> </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lang w:eastAsia="zh-CN"/>
        </w:rPr>
      </w:pP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3</w:t>
      </w:r>
      <w:r>
        <w:rPr>
          <w:rStyle w:val="21"/>
          <w:rFonts w:hint="eastAsia" w:ascii="仿宋_GB2312" w:hAnsi="仿宋" w:eastAsia="仿宋_GB2312" w:cs="Times New Roman"/>
          <w:color w:val="auto"/>
          <w:spacing w:val="-6"/>
          <w:kern w:val="0"/>
          <w:sz w:val="28"/>
          <w:szCs w:val="28"/>
          <w:highlight w:val="none"/>
          <w:lang w:eastAsia="zh-CN"/>
        </w:rPr>
        <w:t>）</w:t>
      </w:r>
      <w:r>
        <w:rPr>
          <w:rStyle w:val="21"/>
          <w:rFonts w:hint="eastAsia" w:ascii="仿宋_GB2312" w:hAnsi="仿宋" w:eastAsia="仿宋_GB2312" w:cs="Times New Roman"/>
          <w:color w:val="auto"/>
          <w:spacing w:val="-6"/>
          <w:kern w:val="0"/>
          <w:sz w:val="28"/>
          <w:szCs w:val="28"/>
          <w:highlight w:val="none"/>
          <w:lang w:val="en-US" w:eastAsia="zh-CN"/>
        </w:rPr>
        <w:t>合同范本第二章零售交易信息</w:t>
      </w:r>
      <w:r>
        <w:rPr>
          <w:rFonts w:hint="eastAsia" w:ascii="仿宋_GB2312" w:hAnsi="仿宋" w:eastAsia="仿宋_GB2312" w:cs="Times New Roman"/>
          <w:color w:val="auto"/>
          <w:spacing w:val="-6"/>
          <w:kern w:val="0"/>
          <w:sz w:val="28"/>
          <w:szCs w:val="28"/>
          <w:highlight w:val="none"/>
          <w:lang w:val="en-US" w:eastAsia="zh-CN"/>
        </w:rPr>
        <w:t>“六、</w:t>
      </w:r>
      <w:r>
        <w:rPr>
          <w:rFonts w:hint="eastAsia" w:ascii="仿宋_GB2312" w:hAnsi="仿宋" w:eastAsia="仿宋_GB2312" w:cs="Times New Roman"/>
          <w:color w:val="auto"/>
          <w:spacing w:val="-6"/>
          <w:kern w:val="0"/>
          <w:sz w:val="28"/>
          <w:szCs w:val="28"/>
          <w:highlight w:val="none"/>
          <w:lang w:eastAsia="zh-CN"/>
        </w:rPr>
        <w:t>违约赔偿条款</w:t>
      </w:r>
      <w:r>
        <w:rPr>
          <w:rFonts w:hint="eastAsia" w:ascii="仿宋_GB2312" w:hAnsi="仿宋" w:eastAsia="仿宋_GB2312" w:cs="Times New Roman"/>
          <w:color w:val="auto"/>
          <w:spacing w:val="-6"/>
          <w:kern w:val="0"/>
          <w:sz w:val="28"/>
          <w:szCs w:val="28"/>
          <w:highlight w:val="none"/>
          <w:lang w:val="en-US" w:eastAsia="zh-CN"/>
        </w:rPr>
        <w:t>”</w:t>
      </w:r>
      <w:r>
        <w:rPr>
          <w:rFonts w:hint="eastAsia" w:ascii="仿宋_GB2312" w:hAnsi="仿宋" w:eastAsia="仿宋_GB2312" w:cs="Times New Roman"/>
          <w:color w:val="auto"/>
          <w:spacing w:val="-6"/>
          <w:kern w:val="0"/>
          <w:sz w:val="28"/>
          <w:szCs w:val="28"/>
          <w:highlight w:val="none"/>
          <w:lang w:eastAsia="zh-CN"/>
        </w:rPr>
        <w:t>：</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right="0" w:rightChars="0" w:firstLine="536" w:firstLineChars="200"/>
        <w:jc w:val="left"/>
        <w:textAlignment w:val="auto"/>
        <w:rPr>
          <w:rFonts w:hint="eastAsia" w:ascii="仿宋_GB2312" w:hAnsi="仿宋" w:eastAsia="仿宋_GB2312"/>
          <w:color w:val="auto"/>
          <w:spacing w:val="-6"/>
          <w:kern w:val="0"/>
          <w:sz w:val="28"/>
          <w:szCs w:val="28"/>
          <w:highlight w:val="none"/>
        </w:rPr>
      </w:pPr>
      <w:r>
        <w:rPr>
          <w:rFonts w:hint="eastAsia" w:ascii="仿宋_GB2312" w:hAnsi="仿宋" w:eastAsia="仿宋_GB2312"/>
          <w:color w:val="auto"/>
          <w:spacing w:val="-6"/>
          <w:kern w:val="0"/>
          <w:sz w:val="28"/>
          <w:szCs w:val="28"/>
          <w:highlight w:val="none"/>
        </w:rPr>
        <w:t>当任何一方违反本合同约定出现违约行为，违约方应向守约方支付违约造成的经济损失， 违约金的计算标准为：</w:t>
      </w:r>
      <w:r>
        <w:rPr>
          <w:rFonts w:hint="eastAsia" w:ascii="仿宋_GB2312" w:hAnsi="仿宋" w:eastAsia="仿宋_GB2312"/>
          <w:b/>
          <w:bCs/>
          <w:color w:val="auto"/>
          <w:spacing w:val="-6"/>
          <w:kern w:val="0"/>
          <w:sz w:val="28"/>
          <w:szCs w:val="28"/>
          <w:highlight w:val="none"/>
          <w:u w:val="single"/>
          <w:lang w:eastAsia="zh-CN"/>
        </w:rPr>
        <w:t>0.05元/千瓦时</w:t>
      </w:r>
      <w:r>
        <w:rPr>
          <w:rFonts w:hint="eastAsia" w:ascii="仿宋_GB2312" w:hAnsi="仿宋" w:eastAsia="仿宋_GB2312" w:cs="Times New Roman"/>
          <w:b/>
          <w:bCs/>
          <w:color w:val="auto"/>
          <w:spacing w:val="-6"/>
          <w:kern w:val="0"/>
          <w:sz w:val="28"/>
          <w:szCs w:val="28"/>
          <w:highlight w:val="none"/>
          <w:u w:val="single"/>
          <w:lang w:eastAsia="zh-CN"/>
        </w:rPr>
        <w:t>×</w:t>
      </w:r>
      <w:r>
        <w:rPr>
          <w:rFonts w:hint="eastAsia" w:ascii="仿宋_GB2312" w:hAnsi="仿宋" w:eastAsia="仿宋_GB2312"/>
          <w:b/>
          <w:bCs/>
          <w:color w:val="auto"/>
          <w:spacing w:val="-6"/>
          <w:kern w:val="0"/>
          <w:sz w:val="28"/>
          <w:szCs w:val="28"/>
          <w:highlight w:val="none"/>
          <w:u w:val="single"/>
          <w:lang w:val="en-US" w:eastAsia="zh-CN"/>
        </w:rPr>
        <w:t>实际交易总</w:t>
      </w:r>
      <w:r>
        <w:rPr>
          <w:rFonts w:hint="eastAsia" w:ascii="仿宋_GB2312" w:hAnsi="仿宋" w:eastAsia="仿宋_GB2312"/>
          <w:b/>
          <w:bCs/>
          <w:color w:val="auto"/>
          <w:spacing w:val="-6"/>
          <w:kern w:val="0"/>
          <w:sz w:val="28"/>
          <w:szCs w:val="28"/>
          <w:highlight w:val="none"/>
          <w:u w:val="single"/>
          <w:lang w:eastAsia="zh-CN"/>
        </w:rPr>
        <w:t>用电量</w:t>
      </w:r>
      <w:r>
        <w:rPr>
          <w:rFonts w:hint="eastAsia" w:ascii="仿宋_GB2312" w:hAnsi="仿宋" w:eastAsia="仿宋_GB2312"/>
          <w:color w:val="auto"/>
          <w:spacing w:val="-6"/>
          <w:kern w:val="0"/>
          <w:sz w:val="28"/>
          <w:szCs w:val="28"/>
          <w:highlight w:val="none"/>
        </w:rPr>
        <w:t>，该违约金由双方自行结算补偿。</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ind w:right="0" w:rightChars="0" w:firstLine="536" w:firstLineChars="200"/>
        <w:jc w:val="left"/>
        <w:textAlignment w:val="auto"/>
        <w:rPr>
          <w:rStyle w:val="21"/>
          <w:rFonts w:hint="default" w:ascii="仿宋_GB2312" w:hAnsi="仿宋" w:eastAsia="仿宋_GB2312" w:cs="Times New Roman"/>
          <w:color w:val="auto"/>
          <w:spacing w:val="-6"/>
          <w:kern w:val="0"/>
          <w:sz w:val="28"/>
          <w:szCs w:val="28"/>
          <w:highlight w:val="none"/>
          <w:lang w:val="en-US" w:eastAsia="zh-CN"/>
        </w:rPr>
      </w:pPr>
      <w:r>
        <w:rPr>
          <w:rStyle w:val="21"/>
          <w:rFonts w:hint="eastAsia" w:ascii="仿宋_GB2312" w:hAnsi="仿宋" w:eastAsia="仿宋_GB2312" w:cs="Times New Roman"/>
          <w:color w:val="auto"/>
          <w:spacing w:val="-6"/>
          <w:kern w:val="0"/>
          <w:sz w:val="28"/>
          <w:szCs w:val="28"/>
          <w:highlight w:val="none"/>
          <w:lang w:val="en-US" w:eastAsia="zh-CN"/>
        </w:rPr>
        <w:t>（4）合同范本第二章零售交易信息“七、</w:t>
      </w:r>
      <w:r>
        <w:rPr>
          <w:rFonts w:hint="eastAsia" w:ascii="仿宋_GB2312" w:hAnsi="仿宋" w:eastAsia="仿宋_GB2312"/>
          <w:color w:val="auto"/>
          <w:spacing w:val="-6"/>
          <w:kern w:val="0"/>
          <w:sz w:val="28"/>
          <w:szCs w:val="28"/>
          <w:highlight w:val="none"/>
          <w:lang w:val="en-US" w:eastAsia="zh-CN"/>
        </w:rPr>
        <w:t>争议解决条款（二选一）</w:t>
      </w:r>
      <w:r>
        <w:rPr>
          <w:rStyle w:val="21"/>
          <w:rFonts w:hint="eastAsia" w:ascii="仿宋_GB2312" w:hAnsi="仿宋" w:eastAsia="仿宋_GB2312" w:cs="Times New Roman"/>
          <w:color w:val="auto"/>
          <w:spacing w:val="-6"/>
          <w:kern w:val="0"/>
          <w:sz w:val="28"/>
          <w:szCs w:val="28"/>
          <w:highlight w:val="none"/>
          <w:lang w:val="en-US" w:eastAsia="zh-CN"/>
        </w:rPr>
        <w:t>”以及第八章争议解决8.1条（二选一）：</w:t>
      </w:r>
      <w:r>
        <w:rPr>
          <w:rFonts w:hint="eastAsia" w:ascii="仿宋_GB2312" w:hAnsi="仿宋" w:eastAsia="仿宋_GB2312" w:cs="Times New Roman"/>
          <w:color w:val="auto"/>
          <w:spacing w:val="-6"/>
          <w:kern w:val="0"/>
          <w:sz w:val="28"/>
          <w:szCs w:val="28"/>
          <w:highlight w:val="none"/>
          <w:bdr w:val="single" w:sz="0" w:space="0"/>
          <w:lang w:val="en-US" w:eastAsia="zh-CN"/>
        </w:rPr>
        <w:t>√</w:t>
      </w:r>
      <w:r>
        <w:rPr>
          <w:rFonts w:hint="eastAsia" w:ascii="仿宋_GB2312" w:hAnsi="仿宋" w:eastAsia="仿宋_GB2312" w:cs="Times New Roman"/>
          <w:color w:val="auto"/>
          <w:spacing w:val="-6"/>
          <w:kern w:val="0"/>
          <w:sz w:val="28"/>
          <w:szCs w:val="28"/>
          <w:highlight w:val="none"/>
          <w:bdr w:val="none" w:sz="0" w:space="0"/>
          <w:lang w:val="en-US" w:eastAsia="zh-CN"/>
        </w:rPr>
        <w:t>方式</w:t>
      </w:r>
      <w:r>
        <w:rPr>
          <w:rFonts w:hint="eastAsia" w:ascii="仿宋_GB2312" w:hAnsi="仿宋" w:eastAsia="仿宋_GB2312" w:cs="Times New Roman"/>
          <w:color w:val="auto"/>
          <w:spacing w:val="-6"/>
          <w:kern w:val="0"/>
          <w:sz w:val="28"/>
          <w:szCs w:val="28"/>
          <w:highlight w:val="none"/>
          <w:lang w:val="en-US" w:eastAsia="zh-CN"/>
        </w:rPr>
        <w:t>二：</w:t>
      </w:r>
      <w:r>
        <w:rPr>
          <w:rStyle w:val="21"/>
          <w:rFonts w:hint="eastAsia" w:ascii="仿宋_GB2312" w:hAnsi="仿宋" w:eastAsia="仿宋_GB2312" w:cs="Times New Roman"/>
          <w:color w:val="auto"/>
          <w:spacing w:val="-6"/>
          <w:kern w:val="0"/>
          <w:sz w:val="28"/>
          <w:szCs w:val="28"/>
          <w:highlight w:val="none"/>
          <w:lang w:val="en-US" w:eastAsia="zh-CN"/>
        </w:rPr>
        <w:t>法院起诉：任何一方依法提请原告方所在地人民法院通过诉讼程序解决。</w:t>
      </w:r>
    </w:p>
    <w:p>
      <w:pPr>
        <w:pStyle w:val="2"/>
        <w:rPr>
          <w:rFonts w:hint="default"/>
          <w:color w:val="auto"/>
          <w:highlight w:val="none"/>
          <w:lang w:eastAsia="zh-CN"/>
        </w:rPr>
      </w:pPr>
      <w:r>
        <w:rPr>
          <w:rFonts w:hint="eastAsia" w:ascii="仿宋_GB2312" w:hAnsi="仿宋" w:eastAsia="仿宋_GB2312" w:cs="Times New Roman"/>
          <w:color w:val="auto"/>
          <w:spacing w:val="-6"/>
          <w:kern w:val="0"/>
          <w:sz w:val="28"/>
          <w:szCs w:val="28"/>
          <w:highlight w:val="none"/>
          <w:lang w:val="en-US" w:eastAsia="zh-CN"/>
        </w:rPr>
        <w:t xml:space="preserve"> （5）合同范本</w:t>
      </w:r>
      <w:r>
        <w:rPr>
          <w:rStyle w:val="21"/>
          <w:rFonts w:hint="eastAsia" w:ascii="仿宋_GB2312" w:hAnsi="仿宋" w:eastAsia="仿宋_GB2312" w:cs="Times New Roman"/>
          <w:color w:val="auto"/>
          <w:spacing w:val="-6"/>
          <w:kern w:val="0"/>
          <w:sz w:val="28"/>
          <w:szCs w:val="28"/>
          <w:highlight w:val="none"/>
          <w:lang w:val="en-US" w:eastAsia="zh-CN"/>
        </w:rPr>
        <w:t>第二章零售交易信息“八、廉洁声明（可选）”：</w:t>
      </w:r>
      <w:r>
        <w:rPr>
          <w:rFonts w:hint="eastAsia" w:ascii="仿宋_GB2312" w:hAnsi="仿宋" w:eastAsia="仿宋_GB2312" w:cs="Times New Roman"/>
          <w:color w:val="auto"/>
          <w:spacing w:val="-6"/>
          <w:kern w:val="0"/>
          <w:sz w:val="28"/>
          <w:szCs w:val="28"/>
          <w:highlight w:val="none"/>
          <w:bdr w:val="single" w:sz="0" w:space="0"/>
          <w:lang w:val="en-US" w:eastAsia="zh-CN"/>
        </w:rPr>
        <w:t>√</w:t>
      </w:r>
      <w:r>
        <w:rPr>
          <w:rFonts w:hint="eastAsia" w:ascii="仿宋_GB2312" w:hAnsi="仿宋" w:eastAsia="仿宋_GB2312" w:cs="Times New Roman"/>
          <w:color w:val="auto"/>
          <w:spacing w:val="-6"/>
          <w:kern w:val="0"/>
          <w:sz w:val="28"/>
          <w:szCs w:val="28"/>
          <w:highlight w:val="none"/>
          <w:lang w:val="en-US" w:eastAsia="zh-CN"/>
        </w:rPr>
        <w:t>设置廉洁声明（附件三）</w:t>
      </w:r>
    </w:p>
    <w:p>
      <w:pPr>
        <w:keepNext w:val="0"/>
        <w:keepLines w:val="0"/>
        <w:pageBreakBefore w:val="0"/>
        <w:widowControl/>
        <w:kinsoku/>
        <w:wordWrap/>
        <w:overflowPunct/>
        <w:topLinePunct w:val="0"/>
        <w:autoSpaceDE/>
        <w:autoSpaceDN/>
        <w:bidi w:val="0"/>
        <w:adjustRightInd/>
        <w:snapToGrid w:val="0"/>
        <w:spacing w:line="360" w:lineRule="auto"/>
        <w:ind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rPr>
      </w:pPr>
      <w:r>
        <w:rPr>
          <w:rFonts w:hint="eastAsia" w:ascii="仿宋_GB2312" w:hAnsi="仿宋" w:eastAsia="仿宋_GB2312" w:cs="Times New Roman"/>
          <w:color w:val="auto"/>
          <w:spacing w:val="-6"/>
          <w:kern w:val="0"/>
          <w:sz w:val="28"/>
          <w:szCs w:val="28"/>
          <w:highlight w:val="none"/>
          <w:lang w:val="en-US" w:eastAsia="zh-CN"/>
        </w:rPr>
        <w:t>3、</w:t>
      </w:r>
      <w:r>
        <w:rPr>
          <w:rFonts w:hint="eastAsia" w:ascii="仿宋_GB2312" w:hAnsi="仿宋" w:eastAsia="仿宋_GB2312" w:cs="Times New Roman"/>
          <w:color w:val="auto"/>
          <w:spacing w:val="-6"/>
          <w:kern w:val="0"/>
          <w:sz w:val="28"/>
          <w:szCs w:val="28"/>
          <w:highlight w:val="none"/>
        </w:rPr>
        <w:t>合同标的、数量、金额、服务承诺、履约方式等必须与</w:t>
      </w:r>
      <w:r>
        <w:rPr>
          <w:rFonts w:hint="eastAsia" w:ascii="仿宋_GB2312" w:hAnsi="仿宋" w:eastAsia="仿宋_GB2312" w:cs="Times New Roman"/>
          <w:color w:val="auto"/>
          <w:spacing w:val="-6"/>
          <w:kern w:val="0"/>
          <w:sz w:val="28"/>
          <w:szCs w:val="28"/>
          <w:highlight w:val="none"/>
          <w:lang w:val="en-US" w:eastAsia="zh-CN"/>
        </w:rPr>
        <w:t>采购</w:t>
      </w:r>
      <w:r>
        <w:rPr>
          <w:rFonts w:hint="eastAsia" w:ascii="仿宋_GB2312" w:hAnsi="仿宋" w:eastAsia="仿宋_GB2312" w:cs="Times New Roman"/>
          <w:color w:val="auto"/>
          <w:spacing w:val="-6"/>
          <w:kern w:val="0"/>
          <w:sz w:val="28"/>
          <w:szCs w:val="28"/>
          <w:highlight w:val="none"/>
        </w:rPr>
        <w:t>文件和</w:t>
      </w:r>
      <w:r>
        <w:rPr>
          <w:rFonts w:hint="eastAsia" w:ascii="仿宋_GB2312" w:hAnsi="仿宋" w:eastAsia="仿宋_GB2312" w:cs="Times New Roman"/>
          <w:color w:val="auto"/>
          <w:spacing w:val="-6"/>
          <w:kern w:val="0"/>
          <w:sz w:val="28"/>
          <w:szCs w:val="28"/>
          <w:highlight w:val="none"/>
          <w:lang w:val="en-US" w:eastAsia="zh-CN"/>
        </w:rPr>
        <w:t>成交</w:t>
      </w:r>
      <w:r>
        <w:rPr>
          <w:rFonts w:hint="eastAsia" w:ascii="仿宋_GB2312" w:hAnsi="仿宋" w:eastAsia="仿宋_GB2312" w:cs="Times New Roman"/>
          <w:color w:val="auto"/>
          <w:spacing w:val="-6"/>
          <w:kern w:val="0"/>
          <w:sz w:val="28"/>
          <w:szCs w:val="28"/>
          <w:highlight w:val="none"/>
        </w:rPr>
        <w:t>人的</w:t>
      </w:r>
      <w:r>
        <w:rPr>
          <w:rFonts w:hint="eastAsia" w:ascii="仿宋_GB2312" w:hAnsi="仿宋" w:eastAsia="仿宋_GB2312" w:cs="Times New Roman"/>
          <w:color w:val="auto"/>
          <w:spacing w:val="-6"/>
          <w:kern w:val="0"/>
          <w:sz w:val="28"/>
          <w:szCs w:val="28"/>
          <w:highlight w:val="none"/>
          <w:lang w:val="en-US" w:eastAsia="zh-CN"/>
        </w:rPr>
        <w:t>响应</w:t>
      </w:r>
      <w:r>
        <w:rPr>
          <w:rFonts w:hint="eastAsia" w:ascii="仿宋_GB2312" w:hAnsi="仿宋" w:eastAsia="仿宋_GB2312" w:cs="Times New Roman"/>
          <w:color w:val="auto"/>
          <w:spacing w:val="-6"/>
          <w:kern w:val="0"/>
          <w:sz w:val="28"/>
          <w:szCs w:val="28"/>
          <w:highlight w:val="none"/>
        </w:rPr>
        <w:t>文件保持一致。</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36" w:firstLineChars="200"/>
        <w:jc w:val="left"/>
        <w:textAlignment w:val="auto"/>
        <w:rPr>
          <w:rFonts w:hint="eastAsia" w:ascii="仿宋_GB2312" w:hAnsi="仿宋" w:eastAsia="仿宋_GB2312" w:cs="Times New Roman"/>
          <w:color w:val="auto"/>
          <w:spacing w:val="-6"/>
          <w:kern w:val="0"/>
          <w:sz w:val="28"/>
          <w:szCs w:val="28"/>
          <w:highlight w:val="none"/>
        </w:rPr>
      </w:pPr>
      <w:r>
        <w:rPr>
          <w:rFonts w:hint="eastAsia" w:ascii="仿宋_GB2312" w:hAnsi="仿宋" w:eastAsia="仿宋_GB2312" w:cs="Times New Roman"/>
          <w:color w:val="auto"/>
          <w:spacing w:val="-6"/>
          <w:kern w:val="0"/>
          <w:sz w:val="28"/>
          <w:szCs w:val="28"/>
          <w:highlight w:val="none"/>
          <w:lang w:val="en-US" w:eastAsia="zh-CN"/>
        </w:rPr>
        <w:t>4、</w:t>
      </w:r>
      <w:r>
        <w:rPr>
          <w:rFonts w:hint="eastAsia" w:ascii="仿宋_GB2312" w:hAnsi="仿宋" w:eastAsia="仿宋_GB2312" w:cs="Times New Roman"/>
          <w:color w:val="auto"/>
          <w:spacing w:val="-6"/>
          <w:kern w:val="0"/>
          <w:sz w:val="28"/>
          <w:szCs w:val="28"/>
          <w:highlight w:val="none"/>
        </w:rPr>
        <w:t>在不违反原</w:t>
      </w:r>
      <w:r>
        <w:rPr>
          <w:rFonts w:hint="eastAsia" w:ascii="仿宋_GB2312" w:hAnsi="仿宋" w:eastAsia="仿宋_GB2312" w:cs="Times New Roman"/>
          <w:color w:val="auto"/>
          <w:spacing w:val="-6"/>
          <w:kern w:val="0"/>
          <w:sz w:val="28"/>
          <w:szCs w:val="28"/>
          <w:highlight w:val="none"/>
          <w:lang w:val="en-US" w:eastAsia="zh-CN"/>
        </w:rPr>
        <w:t>采购</w:t>
      </w:r>
      <w:r>
        <w:rPr>
          <w:rFonts w:hint="eastAsia" w:ascii="仿宋_GB2312" w:hAnsi="仿宋" w:eastAsia="仿宋_GB2312" w:cs="Times New Roman"/>
          <w:color w:val="auto"/>
          <w:spacing w:val="-6"/>
          <w:kern w:val="0"/>
          <w:sz w:val="28"/>
          <w:szCs w:val="28"/>
          <w:highlight w:val="none"/>
        </w:rPr>
        <w:t>人要求和各方认可的文件内容前提下，合同当事人可对合同范本中个别非</w:t>
      </w:r>
      <w:r>
        <w:rPr>
          <w:rFonts w:hint="eastAsia" w:ascii="仿宋_GB2312" w:hAnsi="仿宋" w:eastAsia="仿宋_GB2312" w:cs="Times New Roman"/>
          <w:color w:val="auto"/>
          <w:spacing w:val="-6"/>
          <w:kern w:val="0"/>
          <w:sz w:val="28"/>
          <w:szCs w:val="28"/>
          <w:highlight w:val="none"/>
          <w:lang w:val="en-US" w:eastAsia="zh-CN"/>
        </w:rPr>
        <w:t>比选</w:t>
      </w:r>
      <w:r>
        <w:rPr>
          <w:rFonts w:hint="eastAsia" w:ascii="仿宋_GB2312" w:hAnsi="仿宋" w:eastAsia="仿宋_GB2312" w:cs="Times New Roman"/>
          <w:color w:val="auto"/>
          <w:spacing w:val="-6"/>
          <w:kern w:val="0"/>
          <w:sz w:val="28"/>
          <w:szCs w:val="28"/>
          <w:highlight w:val="none"/>
        </w:rPr>
        <w:t>文件规定和</w:t>
      </w:r>
      <w:r>
        <w:rPr>
          <w:rFonts w:hint="eastAsia" w:ascii="仿宋_GB2312" w:hAnsi="仿宋" w:eastAsia="仿宋_GB2312" w:cs="Times New Roman"/>
          <w:color w:val="auto"/>
          <w:spacing w:val="-6"/>
          <w:kern w:val="0"/>
          <w:sz w:val="28"/>
          <w:szCs w:val="28"/>
          <w:highlight w:val="none"/>
          <w:lang w:val="en-US" w:eastAsia="zh-CN"/>
        </w:rPr>
        <w:t>响应</w:t>
      </w:r>
      <w:r>
        <w:rPr>
          <w:rFonts w:hint="eastAsia" w:ascii="仿宋_GB2312" w:hAnsi="仿宋" w:eastAsia="仿宋_GB2312" w:cs="Times New Roman"/>
          <w:color w:val="auto"/>
          <w:spacing w:val="-6"/>
          <w:kern w:val="0"/>
          <w:sz w:val="28"/>
          <w:szCs w:val="28"/>
          <w:highlight w:val="none"/>
        </w:rPr>
        <w:t>文件承诺的合同条款共同协商完善补充修订。</w:t>
      </w:r>
    </w:p>
    <w:p>
      <w:pPr>
        <w:keepNext w:val="0"/>
        <w:keepLines w:val="0"/>
        <w:pageBreakBefore w:val="0"/>
        <w:tabs>
          <w:tab w:val="left" w:pos="567"/>
        </w:tabs>
        <w:kinsoku/>
        <w:wordWrap/>
        <w:overflowPunct/>
        <w:topLinePunct w:val="0"/>
        <w:autoSpaceDE/>
        <w:bidi w:val="0"/>
        <w:snapToGrid w:val="0"/>
        <w:spacing w:line="360" w:lineRule="auto"/>
        <w:ind w:firstLine="562" w:firstLineChars="200"/>
        <w:textAlignment w:val="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lang w:eastAsia="zh-CN"/>
        </w:rPr>
        <w:t>九</w:t>
      </w:r>
      <w:r>
        <w:rPr>
          <w:rFonts w:hint="eastAsia" w:ascii="黑体" w:hAnsi="黑体" w:eastAsia="黑体" w:cs="黑体"/>
          <w:b/>
          <w:bCs/>
          <w:color w:val="auto"/>
          <w:sz w:val="28"/>
          <w:szCs w:val="28"/>
          <w:highlight w:val="none"/>
        </w:rPr>
        <w:t>、其他说明</w:t>
      </w:r>
    </w:p>
    <w:p>
      <w:pPr>
        <w:keepNext w:val="0"/>
        <w:keepLines w:val="0"/>
        <w:pageBreakBefore w:val="0"/>
        <w:widowControl w:val="0"/>
        <w:tabs>
          <w:tab w:val="left" w:pos="567"/>
        </w:tabs>
        <w:kinsoku/>
        <w:wordWrap/>
        <w:overflowPunct/>
        <w:topLinePunct w:val="0"/>
        <w:autoSpaceDE/>
        <w:autoSpaceDN w:val="0"/>
        <w:bidi w:val="0"/>
        <w:snapToGrid w:val="0"/>
        <w:spacing w:line="360" w:lineRule="auto"/>
        <w:ind w:left="0" w:leftChars="0" w:right="0" w:rightChars="0" w:firstLine="536" w:firstLineChars="200"/>
        <w:textAlignment w:val="auto"/>
        <w:outlineLvl w:val="9"/>
        <w:rPr>
          <w:rFonts w:ascii="仿宋_GB2312" w:hAnsi="仿宋_GB2312" w:eastAsia="仿宋_GB2312" w:cs="仿宋_GB2312"/>
          <w:color w:val="auto"/>
          <w:spacing w:val="-6"/>
          <w:kern w:val="0"/>
          <w:sz w:val="28"/>
          <w:szCs w:val="28"/>
          <w:highlight w:val="none"/>
        </w:rPr>
      </w:pPr>
      <w:r>
        <w:rPr>
          <w:rFonts w:ascii="仿宋_GB2312" w:hAnsi="仿宋_GB2312" w:eastAsia="仿宋_GB2312" w:cs="仿宋_GB2312"/>
          <w:color w:val="auto"/>
          <w:spacing w:val="-6"/>
          <w:kern w:val="0"/>
          <w:sz w:val="28"/>
          <w:szCs w:val="28"/>
          <w:highlight w:val="none"/>
        </w:rPr>
        <w:t>1</w:t>
      </w:r>
      <w:r>
        <w:rPr>
          <w:rFonts w:hint="eastAsia" w:ascii="仿宋_GB2312" w:hAnsi="仿宋_GB2312" w:eastAsia="仿宋_GB2312" w:cs="仿宋_GB2312"/>
          <w:color w:val="auto"/>
          <w:spacing w:val="-6"/>
          <w:kern w:val="0"/>
          <w:sz w:val="28"/>
          <w:szCs w:val="28"/>
          <w:highlight w:val="none"/>
        </w:rPr>
        <w:t>、</w:t>
      </w:r>
      <w:r>
        <w:rPr>
          <w:rFonts w:hint="eastAsia" w:ascii="仿宋_GB2312" w:hAnsi="仿宋_GB2312" w:eastAsia="仿宋_GB2312" w:cs="仿宋_GB2312"/>
          <w:color w:val="auto"/>
          <w:spacing w:val="-6"/>
          <w:kern w:val="0"/>
          <w:sz w:val="28"/>
          <w:szCs w:val="28"/>
          <w:highlight w:val="none"/>
        </w:rPr>
        <w:t>其余未尽事宜，以合同约定为准。</w:t>
      </w:r>
    </w:p>
    <w:p>
      <w:pPr>
        <w:keepNext w:val="0"/>
        <w:keepLines w:val="0"/>
        <w:pageBreakBefore w:val="0"/>
        <w:widowControl w:val="0"/>
        <w:tabs>
          <w:tab w:val="left" w:pos="567"/>
        </w:tabs>
        <w:kinsoku/>
        <w:wordWrap/>
        <w:overflowPunct/>
        <w:topLinePunct w:val="0"/>
        <w:autoSpaceDE/>
        <w:autoSpaceDN w:val="0"/>
        <w:bidi w:val="0"/>
        <w:snapToGrid w:val="0"/>
        <w:spacing w:line="360" w:lineRule="auto"/>
        <w:ind w:left="0" w:leftChars="0" w:right="0" w:rightChars="0" w:firstLine="536" w:firstLineChars="200"/>
        <w:textAlignment w:val="auto"/>
        <w:outlineLvl w:val="9"/>
        <w:rPr>
          <w:rFonts w:ascii="仿宋_GB2312" w:hAnsi="仿宋_GB2312" w:eastAsia="仿宋_GB2312" w:cs="仿宋_GB2312"/>
          <w:color w:val="auto"/>
          <w:spacing w:val="-6"/>
          <w:kern w:val="0"/>
          <w:sz w:val="28"/>
          <w:szCs w:val="28"/>
          <w:highlight w:val="none"/>
        </w:rPr>
      </w:pPr>
      <w:r>
        <w:rPr>
          <w:rFonts w:ascii="仿宋_GB2312" w:hAnsi="仿宋_GB2312" w:eastAsia="仿宋_GB2312" w:cs="仿宋_GB2312"/>
          <w:color w:val="auto"/>
          <w:spacing w:val="-6"/>
          <w:kern w:val="0"/>
          <w:sz w:val="28"/>
          <w:szCs w:val="28"/>
          <w:highlight w:val="none"/>
        </w:rPr>
        <w:t>2</w:t>
      </w:r>
      <w:r>
        <w:rPr>
          <w:rFonts w:hint="eastAsia" w:ascii="仿宋_GB2312" w:hAnsi="仿宋_GB2312" w:eastAsia="仿宋_GB2312" w:cs="仿宋_GB2312"/>
          <w:color w:val="auto"/>
          <w:spacing w:val="-6"/>
          <w:kern w:val="0"/>
          <w:sz w:val="28"/>
          <w:szCs w:val="28"/>
          <w:highlight w:val="none"/>
        </w:rPr>
        <w:t>、单位负责人为同一人或者存在控股、管理关系的不同单位，不得同时参加本项目，否则均视为无效报价。</w:t>
      </w:r>
    </w:p>
    <w:p>
      <w:pPr>
        <w:tabs>
          <w:tab w:val="left" w:pos="567"/>
        </w:tabs>
        <w:autoSpaceDN w:val="0"/>
        <w:snapToGrid w:val="0"/>
        <w:spacing w:line="360" w:lineRule="auto"/>
        <w:ind w:firstLine="536" w:firstLineChars="200"/>
        <w:outlineLvl w:val="9"/>
        <w:rPr>
          <w:rFonts w:hint="default" w:ascii="仿宋_GB2312" w:hAnsi="仿宋_GB2312" w:eastAsia="仿宋_GB2312" w:cs="仿宋_GB2312"/>
          <w:color w:val="auto"/>
          <w:spacing w:val="-6"/>
          <w:kern w:val="0"/>
          <w:sz w:val="28"/>
          <w:szCs w:val="28"/>
          <w:highlight w:val="none"/>
          <w:lang w:val="en-US" w:eastAsia="zh-CN"/>
        </w:rPr>
      </w:pPr>
      <w:r>
        <w:rPr>
          <w:rFonts w:hint="default" w:ascii="仿宋_GB2312" w:hAnsi="仿宋_GB2312" w:eastAsia="仿宋_GB2312" w:cs="仿宋_GB2312"/>
          <w:color w:val="auto"/>
          <w:spacing w:val="-6"/>
          <w:kern w:val="0"/>
          <w:sz w:val="28"/>
          <w:szCs w:val="28"/>
          <w:highlight w:val="none"/>
          <w:lang w:val="en-GB"/>
        </w:rPr>
        <w:t>3</w:t>
      </w:r>
      <w:r>
        <w:rPr>
          <w:rFonts w:hint="default" w:ascii="仿宋_GB2312" w:hAnsi="仿宋_GB2312" w:eastAsia="仿宋_GB2312" w:cs="仿宋_GB2312"/>
          <w:color w:val="auto"/>
          <w:spacing w:val="-6"/>
          <w:kern w:val="0"/>
          <w:sz w:val="28"/>
          <w:szCs w:val="28"/>
          <w:highlight w:val="none"/>
        </w:rPr>
        <w:t>、若中选单位放弃中选资格，或拒绝与采购方签订合同，或自采购方通知签订合同之日起7日内中选单位未签订合同的，采购方</w:t>
      </w:r>
      <w:r>
        <w:rPr>
          <w:rFonts w:hint="default" w:ascii="仿宋_GB2312" w:hAnsi="仿宋_GB2312" w:eastAsia="仿宋_GB2312" w:cs="仿宋_GB2312"/>
          <w:color w:val="auto"/>
          <w:spacing w:val="-6"/>
          <w:kern w:val="0"/>
          <w:sz w:val="28"/>
          <w:szCs w:val="28"/>
          <w:highlight w:val="none"/>
          <w:lang w:val="en-US" w:eastAsia="zh-CN"/>
        </w:rPr>
        <w:t>有权</w:t>
      </w:r>
      <w:r>
        <w:rPr>
          <w:rFonts w:hint="default" w:ascii="仿宋_GB2312" w:hAnsi="仿宋_GB2312" w:eastAsia="仿宋_GB2312" w:cs="仿宋_GB2312"/>
          <w:color w:val="auto"/>
          <w:spacing w:val="-6"/>
          <w:kern w:val="0"/>
          <w:sz w:val="28"/>
          <w:szCs w:val="28"/>
          <w:highlight w:val="none"/>
        </w:rPr>
        <w:t>取消该中选单位的中选资格，</w:t>
      </w:r>
      <w:r>
        <w:rPr>
          <w:rFonts w:hint="default" w:ascii="仿宋_GB2312" w:hAnsi="仿宋_GB2312" w:eastAsia="仿宋_GB2312" w:cs="仿宋_GB2312"/>
          <w:color w:val="auto"/>
          <w:spacing w:val="-6"/>
          <w:kern w:val="0"/>
          <w:sz w:val="28"/>
          <w:szCs w:val="28"/>
          <w:highlight w:val="none"/>
          <w:lang w:val="en-US" w:eastAsia="zh-CN"/>
        </w:rPr>
        <w:t>采购人可</w:t>
      </w:r>
      <w:r>
        <w:rPr>
          <w:rFonts w:hint="default" w:ascii="仿宋_GB2312" w:hAnsi="仿宋_GB2312" w:eastAsia="仿宋_GB2312" w:cs="仿宋_GB2312"/>
          <w:color w:val="auto"/>
          <w:spacing w:val="-6"/>
          <w:kern w:val="0"/>
          <w:sz w:val="28"/>
          <w:szCs w:val="28"/>
          <w:highlight w:val="none"/>
        </w:rPr>
        <w:t>按照</w:t>
      </w:r>
      <w:r>
        <w:rPr>
          <w:rFonts w:hint="default" w:ascii="仿宋_GB2312" w:hAnsi="仿宋_GB2312" w:eastAsia="仿宋_GB2312" w:cs="仿宋_GB2312"/>
          <w:bCs w:val="0"/>
          <w:color w:val="auto"/>
          <w:spacing w:val="-6"/>
          <w:kern w:val="0"/>
          <w:sz w:val="28"/>
          <w:szCs w:val="28"/>
          <w:highlight w:val="none"/>
          <w:shd w:val="clear" w:color="auto" w:fill="auto"/>
          <w:lang w:val="en-US" w:eastAsia="zh-CN"/>
        </w:rPr>
        <w:t>开启记录表</w:t>
      </w:r>
      <w:r>
        <w:rPr>
          <w:rFonts w:hint="default" w:ascii="仿宋_GB2312" w:hAnsi="仿宋_GB2312" w:eastAsia="仿宋_GB2312" w:cs="仿宋_GB2312"/>
          <w:color w:val="auto"/>
          <w:spacing w:val="-6"/>
          <w:kern w:val="0"/>
          <w:sz w:val="28"/>
          <w:szCs w:val="28"/>
          <w:highlight w:val="none"/>
        </w:rPr>
        <w:t>报价排序确定下一</w:t>
      </w:r>
      <w:r>
        <w:rPr>
          <w:rFonts w:hint="default" w:ascii="仿宋_GB2312" w:hAnsi="仿宋_GB2312" w:eastAsia="仿宋_GB2312" w:cs="仿宋_GB2312"/>
          <w:color w:val="auto"/>
          <w:spacing w:val="-6"/>
          <w:kern w:val="0"/>
          <w:sz w:val="28"/>
          <w:szCs w:val="28"/>
          <w:highlight w:val="none"/>
          <w:lang w:eastAsia="zh-CN"/>
        </w:rPr>
        <w:t>单位</w:t>
      </w:r>
      <w:r>
        <w:rPr>
          <w:rFonts w:hint="default" w:ascii="仿宋_GB2312" w:hAnsi="仿宋_GB2312" w:eastAsia="仿宋_GB2312" w:cs="仿宋_GB2312"/>
          <w:color w:val="auto"/>
          <w:spacing w:val="-6"/>
          <w:kern w:val="0"/>
          <w:sz w:val="28"/>
          <w:szCs w:val="28"/>
          <w:highlight w:val="none"/>
        </w:rPr>
        <w:t>为中选单位，或</w:t>
      </w:r>
      <w:r>
        <w:rPr>
          <w:rFonts w:hint="default" w:ascii="仿宋_GB2312" w:hAnsi="仿宋_GB2312" w:eastAsia="仿宋_GB2312" w:cs="仿宋_GB2312"/>
          <w:color w:val="auto"/>
          <w:spacing w:val="-6"/>
          <w:kern w:val="0"/>
          <w:sz w:val="28"/>
          <w:szCs w:val="28"/>
          <w:highlight w:val="none"/>
          <w:lang w:val="en-US" w:eastAsia="zh-CN"/>
        </w:rPr>
        <w:t>按采购人相关制度</w:t>
      </w:r>
      <w:r>
        <w:rPr>
          <w:rFonts w:hint="default" w:ascii="仿宋_GB2312" w:hAnsi="仿宋_GB2312" w:eastAsia="仿宋_GB2312" w:cs="仿宋_GB2312"/>
          <w:color w:val="auto"/>
          <w:spacing w:val="-6"/>
          <w:kern w:val="0"/>
          <w:sz w:val="28"/>
          <w:szCs w:val="28"/>
          <w:highlight w:val="none"/>
        </w:rPr>
        <w:t>重新开展</w:t>
      </w:r>
      <w:r>
        <w:rPr>
          <w:rFonts w:hint="default" w:ascii="仿宋_GB2312" w:hAnsi="仿宋_GB2312" w:eastAsia="仿宋_GB2312" w:cs="仿宋_GB2312"/>
          <w:color w:val="auto"/>
          <w:spacing w:val="-6"/>
          <w:kern w:val="0"/>
          <w:sz w:val="28"/>
          <w:szCs w:val="28"/>
          <w:highlight w:val="none"/>
          <w:lang w:val="en-US" w:eastAsia="zh-CN"/>
        </w:rPr>
        <w:t>采购</w:t>
      </w:r>
      <w:r>
        <w:rPr>
          <w:rFonts w:hint="default" w:ascii="仿宋_GB2312" w:hAnsi="仿宋_GB2312" w:eastAsia="仿宋_GB2312" w:cs="仿宋_GB2312"/>
          <w:color w:val="auto"/>
          <w:spacing w:val="-6"/>
          <w:kern w:val="0"/>
          <w:sz w:val="28"/>
          <w:szCs w:val="28"/>
          <w:highlight w:val="none"/>
        </w:rPr>
        <w:t>活动</w:t>
      </w:r>
      <w:r>
        <w:rPr>
          <w:rFonts w:hint="eastAsia" w:ascii="仿宋_GB2312" w:hAnsi="仿宋_GB2312" w:eastAsia="仿宋_GB2312" w:cs="仿宋_GB2312"/>
          <w:color w:val="auto"/>
          <w:spacing w:val="-6"/>
          <w:kern w:val="0"/>
          <w:sz w:val="28"/>
          <w:szCs w:val="28"/>
          <w:highlight w:val="none"/>
        </w:rPr>
        <w:t>。</w:t>
      </w: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第%1章"/>
      <w:lvlJc w:val="left"/>
      <w:pPr>
        <w:tabs>
          <w:tab w:val="left" w:pos="2159"/>
        </w:tabs>
        <w:ind w:left="647" w:hanging="648"/>
      </w:pPr>
      <w:rPr>
        <w:rFonts w:hint="default" w:ascii="Arial" w:hAnsi="Arial" w:eastAsia="黑体"/>
        <w:b/>
        <w:i w:val="0"/>
        <w:spacing w:val="0"/>
        <w:w w:val="100"/>
        <w:kern w:val="72"/>
        <w:position w:val="0"/>
        <w:sz w:val="72"/>
      </w:rPr>
    </w:lvl>
    <w:lvl w:ilvl="1" w:tentative="0">
      <w:start w:val="1"/>
      <w:numFmt w:val="chineseCountingThousand"/>
      <w:lvlText w:val="%2、"/>
      <w:lvlJc w:val="left"/>
      <w:pPr>
        <w:tabs>
          <w:tab w:val="left" w:pos="4320"/>
        </w:tabs>
        <w:ind w:left="3828" w:hanging="228"/>
      </w:pPr>
      <w:rPr>
        <w:rFonts w:hint="default" w:ascii="Arial" w:hAnsi="Arial" w:eastAsia="黑体"/>
        <w:b w:val="0"/>
        <w:i w:val="0"/>
        <w:spacing w:val="0"/>
        <w:w w:val="100"/>
        <w:kern w:val="32"/>
        <w:position w:val="0"/>
        <w:sz w:val="36"/>
      </w:rPr>
    </w:lvl>
    <w:lvl w:ilvl="2" w:tentative="0">
      <w:start w:val="1"/>
      <w:numFmt w:val="decimal"/>
      <w:lvlRestart w:val="1"/>
      <w:pStyle w:val="5"/>
      <w:isLgl/>
      <w:lvlText w:val="%3."/>
      <w:lvlJc w:val="left"/>
      <w:pPr>
        <w:tabs>
          <w:tab w:val="left" w:pos="647"/>
        </w:tabs>
        <w:ind w:left="647" w:hanging="432"/>
      </w:pPr>
      <w:rPr>
        <w:rFonts w:hint="default" w:ascii="Arial" w:hAnsi="Arial" w:eastAsia="黑体"/>
        <w:b/>
        <w:i w:val="0"/>
        <w:color w:val="auto"/>
        <w:spacing w:val="0"/>
        <w:w w:val="100"/>
        <w:kern w:val="28"/>
        <w:position w:val="0"/>
        <w:sz w:val="21"/>
        <w:u w:val="none"/>
      </w:rPr>
    </w:lvl>
    <w:lvl w:ilvl="3" w:tentative="0">
      <w:start w:val="1"/>
      <w:numFmt w:val="decimal"/>
      <w:lvlText w:val="%3.%4"/>
      <w:lvlJc w:val="left"/>
      <w:pPr>
        <w:tabs>
          <w:tab w:val="left" w:pos="1116"/>
        </w:tabs>
        <w:ind w:left="1116" w:hanging="576"/>
      </w:pPr>
      <w:rPr>
        <w:rFonts w:hint="default" w:ascii="Arial" w:hAnsi="Arial" w:eastAsia="黑体"/>
        <w:b w:val="0"/>
        <w:i w:val="0"/>
        <w:spacing w:val="0"/>
        <w:w w:val="100"/>
        <w:kern w:val="24"/>
        <w:position w:val="0"/>
        <w:sz w:val="21"/>
      </w:rPr>
    </w:lvl>
    <w:lvl w:ilvl="4" w:tentative="0">
      <w:start w:val="1"/>
      <w:numFmt w:val="decimal"/>
      <w:lvlText w:val="%3.%4.%5"/>
      <w:lvlJc w:val="left"/>
      <w:pPr>
        <w:tabs>
          <w:tab w:val="left" w:pos="2706"/>
        </w:tabs>
        <w:ind w:left="2706" w:hanging="2166"/>
      </w:pPr>
      <w:rPr>
        <w:rFonts w:hint="default" w:ascii="Arial" w:hAnsi="Arial" w:eastAsia="宋体"/>
        <w:b w:val="0"/>
        <w:i w:val="0"/>
        <w:sz w:val="21"/>
      </w:rPr>
    </w:lvl>
    <w:lvl w:ilvl="5" w:tentative="0">
      <w:start w:val="1"/>
      <w:numFmt w:val="decimal"/>
      <w:lvlText w:val="%1.%2.%3.%4.%5.%6"/>
      <w:lvlJc w:val="left"/>
      <w:pPr>
        <w:tabs>
          <w:tab w:val="left" w:pos="3565"/>
        </w:tabs>
        <w:ind w:left="3259" w:hanging="1134"/>
      </w:pPr>
      <w:rPr>
        <w:rFonts w:hint="eastAsia"/>
      </w:rPr>
    </w:lvl>
    <w:lvl w:ilvl="6" w:tentative="0">
      <w:start w:val="1"/>
      <w:numFmt w:val="decimal"/>
      <w:lvlText w:val="%1.%2.%3.%4.%5.%6.%7"/>
      <w:lvlJc w:val="left"/>
      <w:pPr>
        <w:tabs>
          <w:tab w:val="left" w:pos="3990"/>
        </w:tabs>
        <w:ind w:left="3826" w:hanging="1276"/>
      </w:pPr>
      <w:rPr>
        <w:rFonts w:hint="eastAsia"/>
      </w:rPr>
    </w:lvl>
    <w:lvl w:ilvl="7" w:tentative="0">
      <w:start w:val="1"/>
      <w:numFmt w:val="decimal"/>
      <w:lvlText w:val="%1.%2.%3.%4.%5.%6.%7.%8"/>
      <w:lvlJc w:val="left"/>
      <w:pPr>
        <w:tabs>
          <w:tab w:val="left" w:pos="4775"/>
        </w:tabs>
        <w:ind w:left="4393" w:hanging="1418"/>
      </w:pPr>
      <w:rPr>
        <w:rFonts w:hint="eastAsia"/>
      </w:rPr>
    </w:lvl>
    <w:lvl w:ilvl="8" w:tentative="0">
      <w:start w:val="1"/>
      <w:numFmt w:val="decimal"/>
      <w:lvlText w:val="%1.%2.%3.%4.%5.%6.%7.%8.%9"/>
      <w:lvlJc w:val="left"/>
      <w:pPr>
        <w:tabs>
          <w:tab w:val="left" w:pos="5561"/>
        </w:tabs>
        <w:ind w:left="5101" w:hanging="1700"/>
      </w:pPr>
      <w:rPr>
        <w:rFonts w:hint="eastAsia"/>
      </w:rPr>
    </w:lvl>
  </w:abstractNum>
  <w:abstractNum w:abstractNumId="1">
    <w:nsid w:val="67926D45"/>
    <w:multiLevelType w:val="singleLevel"/>
    <w:tmpl w:val="67926D4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OTY5YzBlNTE5YTk1M2VhY2M3YzhkM2Q1NjVmNTAifQ=="/>
    <w:docVar w:name="KSO_WPS_MARK_KEY" w:val="108807ff-63e5-41b0-aea6-aa2c4d6acbab"/>
  </w:docVars>
  <w:rsids>
    <w:rsidRoot w:val="00172A27"/>
    <w:rsid w:val="0002038D"/>
    <w:rsid w:val="000242B0"/>
    <w:rsid w:val="00050FC5"/>
    <w:rsid w:val="0008440F"/>
    <w:rsid w:val="000B7FFB"/>
    <w:rsid w:val="000E2159"/>
    <w:rsid w:val="00120FF8"/>
    <w:rsid w:val="00123A6B"/>
    <w:rsid w:val="00133235"/>
    <w:rsid w:val="001364A1"/>
    <w:rsid w:val="00137DAB"/>
    <w:rsid w:val="001432F6"/>
    <w:rsid w:val="00152F8C"/>
    <w:rsid w:val="00172A27"/>
    <w:rsid w:val="001754CC"/>
    <w:rsid w:val="00182F16"/>
    <w:rsid w:val="001B286B"/>
    <w:rsid w:val="001B60DF"/>
    <w:rsid w:val="001F2591"/>
    <w:rsid w:val="00202DDD"/>
    <w:rsid w:val="002069DF"/>
    <w:rsid w:val="00215001"/>
    <w:rsid w:val="0022419E"/>
    <w:rsid w:val="00224525"/>
    <w:rsid w:val="002508B2"/>
    <w:rsid w:val="00277B68"/>
    <w:rsid w:val="0028268A"/>
    <w:rsid w:val="0029091E"/>
    <w:rsid w:val="00292C28"/>
    <w:rsid w:val="002A1E5B"/>
    <w:rsid w:val="002A54A2"/>
    <w:rsid w:val="002A6C6D"/>
    <w:rsid w:val="002D7DA7"/>
    <w:rsid w:val="002E0D9E"/>
    <w:rsid w:val="002F04D1"/>
    <w:rsid w:val="00310ABC"/>
    <w:rsid w:val="003358E2"/>
    <w:rsid w:val="0034193B"/>
    <w:rsid w:val="003459A6"/>
    <w:rsid w:val="00353118"/>
    <w:rsid w:val="00360993"/>
    <w:rsid w:val="00367B12"/>
    <w:rsid w:val="003721FD"/>
    <w:rsid w:val="003938EE"/>
    <w:rsid w:val="003973D2"/>
    <w:rsid w:val="003A68DF"/>
    <w:rsid w:val="003B2680"/>
    <w:rsid w:val="003C36AF"/>
    <w:rsid w:val="003F5573"/>
    <w:rsid w:val="00406C67"/>
    <w:rsid w:val="0043409F"/>
    <w:rsid w:val="0044724F"/>
    <w:rsid w:val="004546FE"/>
    <w:rsid w:val="00456E30"/>
    <w:rsid w:val="00460821"/>
    <w:rsid w:val="00464A49"/>
    <w:rsid w:val="00487BFF"/>
    <w:rsid w:val="004A5194"/>
    <w:rsid w:val="004A74EB"/>
    <w:rsid w:val="004B110C"/>
    <w:rsid w:val="004C07DF"/>
    <w:rsid w:val="004D24DA"/>
    <w:rsid w:val="004E0FDB"/>
    <w:rsid w:val="005008D5"/>
    <w:rsid w:val="005176B1"/>
    <w:rsid w:val="0052455C"/>
    <w:rsid w:val="00530788"/>
    <w:rsid w:val="00537AB7"/>
    <w:rsid w:val="005569AE"/>
    <w:rsid w:val="0056769B"/>
    <w:rsid w:val="00594A4A"/>
    <w:rsid w:val="005A6051"/>
    <w:rsid w:val="005C2A99"/>
    <w:rsid w:val="005E08A2"/>
    <w:rsid w:val="005E2D4D"/>
    <w:rsid w:val="005E3FAC"/>
    <w:rsid w:val="005E4CF6"/>
    <w:rsid w:val="00601E4E"/>
    <w:rsid w:val="00602503"/>
    <w:rsid w:val="00603078"/>
    <w:rsid w:val="00620AA9"/>
    <w:rsid w:val="0063039D"/>
    <w:rsid w:val="00633C31"/>
    <w:rsid w:val="00634EAF"/>
    <w:rsid w:val="00636123"/>
    <w:rsid w:val="0064536F"/>
    <w:rsid w:val="00651E0A"/>
    <w:rsid w:val="006622FA"/>
    <w:rsid w:val="0066570E"/>
    <w:rsid w:val="00670E4A"/>
    <w:rsid w:val="0068474B"/>
    <w:rsid w:val="006A59D5"/>
    <w:rsid w:val="006A6678"/>
    <w:rsid w:val="006E0142"/>
    <w:rsid w:val="006E5907"/>
    <w:rsid w:val="006E6BAE"/>
    <w:rsid w:val="00714C1E"/>
    <w:rsid w:val="00727CA6"/>
    <w:rsid w:val="0073441D"/>
    <w:rsid w:val="00745E96"/>
    <w:rsid w:val="00762BAA"/>
    <w:rsid w:val="007637C7"/>
    <w:rsid w:val="007A329A"/>
    <w:rsid w:val="007C7005"/>
    <w:rsid w:val="007C74E0"/>
    <w:rsid w:val="007D0597"/>
    <w:rsid w:val="007D1BE8"/>
    <w:rsid w:val="007E375E"/>
    <w:rsid w:val="00802FE5"/>
    <w:rsid w:val="00804A1A"/>
    <w:rsid w:val="00810D97"/>
    <w:rsid w:val="008171BB"/>
    <w:rsid w:val="00823530"/>
    <w:rsid w:val="0083440C"/>
    <w:rsid w:val="008352C5"/>
    <w:rsid w:val="00852645"/>
    <w:rsid w:val="008570EB"/>
    <w:rsid w:val="00865F63"/>
    <w:rsid w:val="0089445B"/>
    <w:rsid w:val="00897B5D"/>
    <w:rsid w:val="008B6C3D"/>
    <w:rsid w:val="008C08A7"/>
    <w:rsid w:val="008C1304"/>
    <w:rsid w:val="008D3570"/>
    <w:rsid w:val="008D69FA"/>
    <w:rsid w:val="008E2E63"/>
    <w:rsid w:val="00907B77"/>
    <w:rsid w:val="009114D1"/>
    <w:rsid w:val="00912212"/>
    <w:rsid w:val="0091448B"/>
    <w:rsid w:val="009179D2"/>
    <w:rsid w:val="009519E1"/>
    <w:rsid w:val="009535FB"/>
    <w:rsid w:val="00953C96"/>
    <w:rsid w:val="00964720"/>
    <w:rsid w:val="009732AC"/>
    <w:rsid w:val="009828C5"/>
    <w:rsid w:val="009828E8"/>
    <w:rsid w:val="00991A37"/>
    <w:rsid w:val="009B6D7E"/>
    <w:rsid w:val="009D7906"/>
    <w:rsid w:val="009E5344"/>
    <w:rsid w:val="00A12AA0"/>
    <w:rsid w:val="00A33988"/>
    <w:rsid w:val="00A34873"/>
    <w:rsid w:val="00A42BDC"/>
    <w:rsid w:val="00A44E9F"/>
    <w:rsid w:val="00A536A2"/>
    <w:rsid w:val="00A62607"/>
    <w:rsid w:val="00A70793"/>
    <w:rsid w:val="00A86125"/>
    <w:rsid w:val="00AA4DF8"/>
    <w:rsid w:val="00AC1BF9"/>
    <w:rsid w:val="00AE2A5C"/>
    <w:rsid w:val="00AE5BE3"/>
    <w:rsid w:val="00AF46B4"/>
    <w:rsid w:val="00B23FFC"/>
    <w:rsid w:val="00B30AD8"/>
    <w:rsid w:val="00B5445A"/>
    <w:rsid w:val="00B55DE3"/>
    <w:rsid w:val="00B6381C"/>
    <w:rsid w:val="00B73EED"/>
    <w:rsid w:val="00B82D7B"/>
    <w:rsid w:val="00B86460"/>
    <w:rsid w:val="00BA6F5C"/>
    <w:rsid w:val="00BD5943"/>
    <w:rsid w:val="00BF35F7"/>
    <w:rsid w:val="00C0379A"/>
    <w:rsid w:val="00C211BD"/>
    <w:rsid w:val="00C23438"/>
    <w:rsid w:val="00C41402"/>
    <w:rsid w:val="00C46B1B"/>
    <w:rsid w:val="00C6253E"/>
    <w:rsid w:val="00C815E2"/>
    <w:rsid w:val="00C857DB"/>
    <w:rsid w:val="00CC5D2D"/>
    <w:rsid w:val="00CD2472"/>
    <w:rsid w:val="00CD4E0B"/>
    <w:rsid w:val="00CF32A5"/>
    <w:rsid w:val="00CF7D8F"/>
    <w:rsid w:val="00D11F88"/>
    <w:rsid w:val="00D161A9"/>
    <w:rsid w:val="00D6778C"/>
    <w:rsid w:val="00D7580C"/>
    <w:rsid w:val="00D94BB9"/>
    <w:rsid w:val="00D9682A"/>
    <w:rsid w:val="00DC2125"/>
    <w:rsid w:val="00DC2E44"/>
    <w:rsid w:val="00DC6FE4"/>
    <w:rsid w:val="00DD33E1"/>
    <w:rsid w:val="00DD6821"/>
    <w:rsid w:val="00DE2C93"/>
    <w:rsid w:val="00DF7FAA"/>
    <w:rsid w:val="00E21AF5"/>
    <w:rsid w:val="00E341BA"/>
    <w:rsid w:val="00E60DB2"/>
    <w:rsid w:val="00E71C8F"/>
    <w:rsid w:val="00E731E7"/>
    <w:rsid w:val="00E777D1"/>
    <w:rsid w:val="00E878D0"/>
    <w:rsid w:val="00EA2649"/>
    <w:rsid w:val="00ED0B7C"/>
    <w:rsid w:val="00EF25FA"/>
    <w:rsid w:val="00F0238A"/>
    <w:rsid w:val="00F05A3F"/>
    <w:rsid w:val="00F24A76"/>
    <w:rsid w:val="00F3182F"/>
    <w:rsid w:val="00F34845"/>
    <w:rsid w:val="00F41D0B"/>
    <w:rsid w:val="00F42A98"/>
    <w:rsid w:val="00F62328"/>
    <w:rsid w:val="00F97527"/>
    <w:rsid w:val="00FA4A6F"/>
    <w:rsid w:val="00FE2369"/>
    <w:rsid w:val="01071C55"/>
    <w:rsid w:val="01371D01"/>
    <w:rsid w:val="0158626D"/>
    <w:rsid w:val="01ED7CB1"/>
    <w:rsid w:val="026F1642"/>
    <w:rsid w:val="02BE4CE5"/>
    <w:rsid w:val="02EE10BD"/>
    <w:rsid w:val="039F3A54"/>
    <w:rsid w:val="03DD51B4"/>
    <w:rsid w:val="03E77F64"/>
    <w:rsid w:val="048B373B"/>
    <w:rsid w:val="05530170"/>
    <w:rsid w:val="05577126"/>
    <w:rsid w:val="056248F8"/>
    <w:rsid w:val="061C7A40"/>
    <w:rsid w:val="066962DE"/>
    <w:rsid w:val="069A3634"/>
    <w:rsid w:val="06A34C03"/>
    <w:rsid w:val="06E43DF5"/>
    <w:rsid w:val="070D3CD4"/>
    <w:rsid w:val="08056A1D"/>
    <w:rsid w:val="081954FE"/>
    <w:rsid w:val="085055E5"/>
    <w:rsid w:val="08585993"/>
    <w:rsid w:val="090544A1"/>
    <w:rsid w:val="09217B86"/>
    <w:rsid w:val="092B5D32"/>
    <w:rsid w:val="09CD0383"/>
    <w:rsid w:val="0A094F53"/>
    <w:rsid w:val="0A1E5A4F"/>
    <w:rsid w:val="0A2D3BDE"/>
    <w:rsid w:val="0A6F47A4"/>
    <w:rsid w:val="0A821084"/>
    <w:rsid w:val="0AB104B4"/>
    <w:rsid w:val="0AD20E1F"/>
    <w:rsid w:val="0B331ECA"/>
    <w:rsid w:val="0B657329"/>
    <w:rsid w:val="0B6F7E77"/>
    <w:rsid w:val="0BA62E49"/>
    <w:rsid w:val="0BAD0AA4"/>
    <w:rsid w:val="0BB32DAD"/>
    <w:rsid w:val="0BC5723C"/>
    <w:rsid w:val="0BE460E6"/>
    <w:rsid w:val="0BE526B9"/>
    <w:rsid w:val="0BFD243F"/>
    <w:rsid w:val="0C623389"/>
    <w:rsid w:val="0C640F26"/>
    <w:rsid w:val="0C722C23"/>
    <w:rsid w:val="0CBB06C4"/>
    <w:rsid w:val="0CCB72B8"/>
    <w:rsid w:val="0CEC62F5"/>
    <w:rsid w:val="0CF90018"/>
    <w:rsid w:val="0D633FAB"/>
    <w:rsid w:val="0DC26E3B"/>
    <w:rsid w:val="0E074C7D"/>
    <w:rsid w:val="0E9E4CCE"/>
    <w:rsid w:val="0EA93012"/>
    <w:rsid w:val="0EAF7012"/>
    <w:rsid w:val="0EEF3AB2"/>
    <w:rsid w:val="0FD37AAC"/>
    <w:rsid w:val="100358D3"/>
    <w:rsid w:val="10192416"/>
    <w:rsid w:val="10684E5F"/>
    <w:rsid w:val="106C3928"/>
    <w:rsid w:val="1085412F"/>
    <w:rsid w:val="10D1051C"/>
    <w:rsid w:val="10D50CBD"/>
    <w:rsid w:val="10D63DCB"/>
    <w:rsid w:val="11236217"/>
    <w:rsid w:val="118C4743"/>
    <w:rsid w:val="11D841B3"/>
    <w:rsid w:val="122F56FE"/>
    <w:rsid w:val="123F1E67"/>
    <w:rsid w:val="124038B2"/>
    <w:rsid w:val="129E0AF5"/>
    <w:rsid w:val="12B67F9F"/>
    <w:rsid w:val="12CF33EA"/>
    <w:rsid w:val="130B2F74"/>
    <w:rsid w:val="133E415B"/>
    <w:rsid w:val="136905E9"/>
    <w:rsid w:val="140A0E9D"/>
    <w:rsid w:val="14107C58"/>
    <w:rsid w:val="14585859"/>
    <w:rsid w:val="145E18BB"/>
    <w:rsid w:val="149B269B"/>
    <w:rsid w:val="152D74CC"/>
    <w:rsid w:val="154465F1"/>
    <w:rsid w:val="156B5FA8"/>
    <w:rsid w:val="17102C8D"/>
    <w:rsid w:val="17130118"/>
    <w:rsid w:val="1713053F"/>
    <w:rsid w:val="172C39BD"/>
    <w:rsid w:val="17800829"/>
    <w:rsid w:val="1780191E"/>
    <w:rsid w:val="17BC7A36"/>
    <w:rsid w:val="17F23AB1"/>
    <w:rsid w:val="17FC5FD4"/>
    <w:rsid w:val="1830705B"/>
    <w:rsid w:val="18311510"/>
    <w:rsid w:val="186E2C3A"/>
    <w:rsid w:val="188B0344"/>
    <w:rsid w:val="18DB5EFF"/>
    <w:rsid w:val="18F37D36"/>
    <w:rsid w:val="19061883"/>
    <w:rsid w:val="19315662"/>
    <w:rsid w:val="196145AA"/>
    <w:rsid w:val="19BB18EB"/>
    <w:rsid w:val="19CD332B"/>
    <w:rsid w:val="19EE5829"/>
    <w:rsid w:val="1A622773"/>
    <w:rsid w:val="1B606BAE"/>
    <w:rsid w:val="1BA2112C"/>
    <w:rsid w:val="1BF3293C"/>
    <w:rsid w:val="1BFF384D"/>
    <w:rsid w:val="1C744D56"/>
    <w:rsid w:val="1CB73735"/>
    <w:rsid w:val="1D0E5A1E"/>
    <w:rsid w:val="1D3C334D"/>
    <w:rsid w:val="1D6E31C6"/>
    <w:rsid w:val="1DA214CD"/>
    <w:rsid w:val="1DB73D07"/>
    <w:rsid w:val="1DE277C5"/>
    <w:rsid w:val="1E0412B3"/>
    <w:rsid w:val="1E18505E"/>
    <w:rsid w:val="1E3916C9"/>
    <w:rsid w:val="1E6E2F79"/>
    <w:rsid w:val="1E762F59"/>
    <w:rsid w:val="1EC16E4B"/>
    <w:rsid w:val="1F2466F9"/>
    <w:rsid w:val="1F5E456E"/>
    <w:rsid w:val="1F6F2B46"/>
    <w:rsid w:val="1F8260C4"/>
    <w:rsid w:val="1FA032BE"/>
    <w:rsid w:val="1FC43052"/>
    <w:rsid w:val="1FCF4ADF"/>
    <w:rsid w:val="20476BBC"/>
    <w:rsid w:val="20640659"/>
    <w:rsid w:val="207A08E2"/>
    <w:rsid w:val="217016B6"/>
    <w:rsid w:val="21CD4A8B"/>
    <w:rsid w:val="220C3E05"/>
    <w:rsid w:val="22621893"/>
    <w:rsid w:val="22BC2C79"/>
    <w:rsid w:val="231131F4"/>
    <w:rsid w:val="2343167F"/>
    <w:rsid w:val="23747E6E"/>
    <w:rsid w:val="23D831D0"/>
    <w:rsid w:val="23EB2B23"/>
    <w:rsid w:val="24136C47"/>
    <w:rsid w:val="24471723"/>
    <w:rsid w:val="24BC254E"/>
    <w:rsid w:val="24C202A2"/>
    <w:rsid w:val="24D6302A"/>
    <w:rsid w:val="2507476E"/>
    <w:rsid w:val="251764A6"/>
    <w:rsid w:val="252A6283"/>
    <w:rsid w:val="25453677"/>
    <w:rsid w:val="25A94DCB"/>
    <w:rsid w:val="25E633C2"/>
    <w:rsid w:val="25E84525"/>
    <w:rsid w:val="262C29A1"/>
    <w:rsid w:val="263013BA"/>
    <w:rsid w:val="26791CF0"/>
    <w:rsid w:val="26E942D2"/>
    <w:rsid w:val="26F121F0"/>
    <w:rsid w:val="271C6DD7"/>
    <w:rsid w:val="272A5587"/>
    <w:rsid w:val="27813091"/>
    <w:rsid w:val="27837911"/>
    <w:rsid w:val="279B7090"/>
    <w:rsid w:val="27EA4054"/>
    <w:rsid w:val="2899273E"/>
    <w:rsid w:val="28E021C9"/>
    <w:rsid w:val="29A03A33"/>
    <w:rsid w:val="2A103412"/>
    <w:rsid w:val="2A5967E8"/>
    <w:rsid w:val="2A5C7AF5"/>
    <w:rsid w:val="2A6664F3"/>
    <w:rsid w:val="2A747911"/>
    <w:rsid w:val="2AB25A81"/>
    <w:rsid w:val="2B0D2A66"/>
    <w:rsid w:val="2B2D13DA"/>
    <w:rsid w:val="2BA259BF"/>
    <w:rsid w:val="2BC56338"/>
    <w:rsid w:val="2C201FF9"/>
    <w:rsid w:val="2C5C0056"/>
    <w:rsid w:val="2C694016"/>
    <w:rsid w:val="2C6C56DC"/>
    <w:rsid w:val="2CAE7074"/>
    <w:rsid w:val="2CE02F44"/>
    <w:rsid w:val="2D0A067B"/>
    <w:rsid w:val="2D263717"/>
    <w:rsid w:val="2D3A3777"/>
    <w:rsid w:val="2D7F49D4"/>
    <w:rsid w:val="2DAE6FBE"/>
    <w:rsid w:val="2DED0846"/>
    <w:rsid w:val="2E350CD6"/>
    <w:rsid w:val="2E6E6E9A"/>
    <w:rsid w:val="2E761A0A"/>
    <w:rsid w:val="2E7E71EE"/>
    <w:rsid w:val="2EF578F3"/>
    <w:rsid w:val="2F8B57B4"/>
    <w:rsid w:val="2FA00499"/>
    <w:rsid w:val="2FDF10DB"/>
    <w:rsid w:val="30014AB5"/>
    <w:rsid w:val="30313A16"/>
    <w:rsid w:val="304D6260"/>
    <w:rsid w:val="30533015"/>
    <w:rsid w:val="30833D9B"/>
    <w:rsid w:val="30A06A0D"/>
    <w:rsid w:val="314F6FFD"/>
    <w:rsid w:val="32093BA5"/>
    <w:rsid w:val="320E757C"/>
    <w:rsid w:val="32CE27F9"/>
    <w:rsid w:val="33223527"/>
    <w:rsid w:val="33A227AD"/>
    <w:rsid w:val="33EB726F"/>
    <w:rsid w:val="33FC2D83"/>
    <w:rsid w:val="3421054F"/>
    <w:rsid w:val="342D5311"/>
    <w:rsid w:val="344B65A4"/>
    <w:rsid w:val="344F590A"/>
    <w:rsid w:val="349C73E5"/>
    <w:rsid w:val="34AB26E8"/>
    <w:rsid w:val="34E51931"/>
    <w:rsid w:val="34EA649C"/>
    <w:rsid w:val="350E620E"/>
    <w:rsid w:val="35216C72"/>
    <w:rsid w:val="352863CE"/>
    <w:rsid w:val="354775AE"/>
    <w:rsid w:val="35860E6B"/>
    <w:rsid w:val="35F004C7"/>
    <w:rsid w:val="35FC7C92"/>
    <w:rsid w:val="36065D64"/>
    <w:rsid w:val="36327A2C"/>
    <w:rsid w:val="36496DC4"/>
    <w:rsid w:val="367C2876"/>
    <w:rsid w:val="369E418C"/>
    <w:rsid w:val="37113481"/>
    <w:rsid w:val="373A03C5"/>
    <w:rsid w:val="37484FD2"/>
    <w:rsid w:val="376A4183"/>
    <w:rsid w:val="376C4E94"/>
    <w:rsid w:val="379D4D6A"/>
    <w:rsid w:val="37FD7721"/>
    <w:rsid w:val="39236063"/>
    <w:rsid w:val="39D61CA5"/>
    <w:rsid w:val="39F52735"/>
    <w:rsid w:val="39F80488"/>
    <w:rsid w:val="3A7333BB"/>
    <w:rsid w:val="3ABF0213"/>
    <w:rsid w:val="3B373263"/>
    <w:rsid w:val="3B654FD2"/>
    <w:rsid w:val="3BB1385A"/>
    <w:rsid w:val="3BDE6599"/>
    <w:rsid w:val="3CA57AB9"/>
    <w:rsid w:val="3CAC5874"/>
    <w:rsid w:val="3CCF68DA"/>
    <w:rsid w:val="3D3D2636"/>
    <w:rsid w:val="3D9851C5"/>
    <w:rsid w:val="3D9B73B9"/>
    <w:rsid w:val="3DA94677"/>
    <w:rsid w:val="3DB62DA0"/>
    <w:rsid w:val="3E0645B1"/>
    <w:rsid w:val="3E1175FA"/>
    <w:rsid w:val="3E767554"/>
    <w:rsid w:val="3EAB3B16"/>
    <w:rsid w:val="3EB6770E"/>
    <w:rsid w:val="3EBD2D39"/>
    <w:rsid w:val="3EE976A1"/>
    <w:rsid w:val="3EEA1E68"/>
    <w:rsid w:val="3EF14931"/>
    <w:rsid w:val="3F104603"/>
    <w:rsid w:val="3F4B1CBB"/>
    <w:rsid w:val="3F9D5F09"/>
    <w:rsid w:val="403F6D88"/>
    <w:rsid w:val="40BC4452"/>
    <w:rsid w:val="40E42538"/>
    <w:rsid w:val="40FA2E90"/>
    <w:rsid w:val="411860BF"/>
    <w:rsid w:val="41E57930"/>
    <w:rsid w:val="41FB00F8"/>
    <w:rsid w:val="420D7B8D"/>
    <w:rsid w:val="42132567"/>
    <w:rsid w:val="427F7297"/>
    <w:rsid w:val="42873C4E"/>
    <w:rsid w:val="42DE2ECD"/>
    <w:rsid w:val="42ED3926"/>
    <w:rsid w:val="431562C2"/>
    <w:rsid w:val="433D5C47"/>
    <w:rsid w:val="433F1B2B"/>
    <w:rsid w:val="436B458A"/>
    <w:rsid w:val="43804D85"/>
    <w:rsid w:val="440847AE"/>
    <w:rsid w:val="446864E3"/>
    <w:rsid w:val="449D43ED"/>
    <w:rsid w:val="44AB41DC"/>
    <w:rsid w:val="44B97082"/>
    <w:rsid w:val="452A7F9D"/>
    <w:rsid w:val="45356BAA"/>
    <w:rsid w:val="45997EA6"/>
    <w:rsid w:val="45B928A9"/>
    <w:rsid w:val="462421D3"/>
    <w:rsid w:val="46637D05"/>
    <w:rsid w:val="46637EB3"/>
    <w:rsid w:val="466A5C13"/>
    <w:rsid w:val="46724B1A"/>
    <w:rsid w:val="47214D79"/>
    <w:rsid w:val="47672D68"/>
    <w:rsid w:val="48415FA4"/>
    <w:rsid w:val="48525E03"/>
    <w:rsid w:val="487D2ECC"/>
    <w:rsid w:val="48B23B46"/>
    <w:rsid w:val="492F04B0"/>
    <w:rsid w:val="49C34EFF"/>
    <w:rsid w:val="4A361EFB"/>
    <w:rsid w:val="4A39037F"/>
    <w:rsid w:val="4A4F0470"/>
    <w:rsid w:val="4AA55BDC"/>
    <w:rsid w:val="4AAF4757"/>
    <w:rsid w:val="4AB743AD"/>
    <w:rsid w:val="4ABF6C17"/>
    <w:rsid w:val="4B056630"/>
    <w:rsid w:val="4B0C7193"/>
    <w:rsid w:val="4B2F1D20"/>
    <w:rsid w:val="4B323550"/>
    <w:rsid w:val="4B4D6401"/>
    <w:rsid w:val="4BA32640"/>
    <w:rsid w:val="4BB52F09"/>
    <w:rsid w:val="4C1D0929"/>
    <w:rsid w:val="4C7E1BAB"/>
    <w:rsid w:val="4CA26A83"/>
    <w:rsid w:val="4CB46CF9"/>
    <w:rsid w:val="4D284EB6"/>
    <w:rsid w:val="4D592C12"/>
    <w:rsid w:val="4D7E2528"/>
    <w:rsid w:val="4D805108"/>
    <w:rsid w:val="4E2B57C0"/>
    <w:rsid w:val="4E37084B"/>
    <w:rsid w:val="4E706431"/>
    <w:rsid w:val="4E764D04"/>
    <w:rsid w:val="4ECB149E"/>
    <w:rsid w:val="4ECD3289"/>
    <w:rsid w:val="4F487905"/>
    <w:rsid w:val="4F800D6E"/>
    <w:rsid w:val="50B93C77"/>
    <w:rsid w:val="50E759C0"/>
    <w:rsid w:val="510D6A0C"/>
    <w:rsid w:val="51414A28"/>
    <w:rsid w:val="519B2E98"/>
    <w:rsid w:val="51A41C81"/>
    <w:rsid w:val="51DE1054"/>
    <w:rsid w:val="524856AA"/>
    <w:rsid w:val="5286519F"/>
    <w:rsid w:val="528A0A22"/>
    <w:rsid w:val="52A449F3"/>
    <w:rsid w:val="52C77001"/>
    <w:rsid w:val="52DB00D9"/>
    <w:rsid w:val="54013CBC"/>
    <w:rsid w:val="54597412"/>
    <w:rsid w:val="546A6785"/>
    <w:rsid w:val="55063B52"/>
    <w:rsid w:val="551E642A"/>
    <w:rsid w:val="553917F7"/>
    <w:rsid w:val="55590320"/>
    <w:rsid w:val="557C2AB8"/>
    <w:rsid w:val="5589421C"/>
    <w:rsid w:val="559B1BCA"/>
    <w:rsid w:val="55C64940"/>
    <w:rsid w:val="55D40962"/>
    <w:rsid w:val="56224931"/>
    <w:rsid w:val="563A5225"/>
    <w:rsid w:val="5665359E"/>
    <w:rsid w:val="56704BCC"/>
    <w:rsid w:val="5676456E"/>
    <w:rsid w:val="56D436D3"/>
    <w:rsid w:val="5706511B"/>
    <w:rsid w:val="570D0D31"/>
    <w:rsid w:val="573316B3"/>
    <w:rsid w:val="57A70EDC"/>
    <w:rsid w:val="57D3302A"/>
    <w:rsid w:val="58656048"/>
    <w:rsid w:val="58686641"/>
    <w:rsid w:val="587F72CC"/>
    <w:rsid w:val="58A648D4"/>
    <w:rsid w:val="58AF36B0"/>
    <w:rsid w:val="59815C1F"/>
    <w:rsid w:val="59A03F3F"/>
    <w:rsid w:val="59C65573"/>
    <w:rsid w:val="59F57ABA"/>
    <w:rsid w:val="5A2B70D3"/>
    <w:rsid w:val="5AE86181"/>
    <w:rsid w:val="5AEE1F59"/>
    <w:rsid w:val="5AFB6EFD"/>
    <w:rsid w:val="5B12194C"/>
    <w:rsid w:val="5B7A56B8"/>
    <w:rsid w:val="5B7C59E3"/>
    <w:rsid w:val="5B8D1F59"/>
    <w:rsid w:val="5B8E18CC"/>
    <w:rsid w:val="5B995240"/>
    <w:rsid w:val="5BE62F4B"/>
    <w:rsid w:val="5C194F28"/>
    <w:rsid w:val="5C4E4922"/>
    <w:rsid w:val="5D38267A"/>
    <w:rsid w:val="5D4222ED"/>
    <w:rsid w:val="5D4F02F4"/>
    <w:rsid w:val="5D97078B"/>
    <w:rsid w:val="5DA82B05"/>
    <w:rsid w:val="5DB56E3B"/>
    <w:rsid w:val="5DC820F2"/>
    <w:rsid w:val="5DFD0846"/>
    <w:rsid w:val="5E015EFE"/>
    <w:rsid w:val="5E0E0E9D"/>
    <w:rsid w:val="5E6861B2"/>
    <w:rsid w:val="5E6C4FEE"/>
    <w:rsid w:val="5EE84DAC"/>
    <w:rsid w:val="5F352F38"/>
    <w:rsid w:val="5F6B1986"/>
    <w:rsid w:val="5F9A1F38"/>
    <w:rsid w:val="5FF566CD"/>
    <w:rsid w:val="6003286E"/>
    <w:rsid w:val="601B2DB6"/>
    <w:rsid w:val="605437E6"/>
    <w:rsid w:val="606340B3"/>
    <w:rsid w:val="6098124A"/>
    <w:rsid w:val="60CB22A0"/>
    <w:rsid w:val="60D42D50"/>
    <w:rsid w:val="610C642D"/>
    <w:rsid w:val="61476BCA"/>
    <w:rsid w:val="61813F0D"/>
    <w:rsid w:val="618209FE"/>
    <w:rsid w:val="618C32EA"/>
    <w:rsid w:val="61A873B6"/>
    <w:rsid w:val="61C31E54"/>
    <w:rsid w:val="61CC0C35"/>
    <w:rsid w:val="626E35B2"/>
    <w:rsid w:val="62870BDA"/>
    <w:rsid w:val="62B845B2"/>
    <w:rsid w:val="63730B17"/>
    <w:rsid w:val="637F78A6"/>
    <w:rsid w:val="63A6086D"/>
    <w:rsid w:val="63D73991"/>
    <w:rsid w:val="63EF3AB0"/>
    <w:rsid w:val="650E7CCA"/>
    <w:rsid w:val="652415DB"/>
    <w:rsid w:val="656415C8"/>
    <w:rsid w:val="65742EC7"/>
    <w:rsid w:val="65DA7F29"/>
    <w:rsid w:val="65EE1EA8"/>
    <w:rsid w:val="669F10A1"/>
    <w:rsid w:val="670F49AE"/>
    <w:rsid w:val="673554FB"/>
    <w:rsid w:val="67F64235"/>
    <w:rsid w:val="6808528A"/>
    <w:rsid w:val="680E67CE"/>
    <w:rsid w:val="682118F0"/>
    <w:rsid w:val="6855198E"/>
    <w:rsid w:val="68657CF4"/>
    <w:rsid w:val="686C3DD0"/>
    <w:rsid w:val="691A52C3"/>
    <w:rsid w:val="694352B4"/>
    <w:rsid w:val="698C7B28"/>
    <w:rsid w:val="69D87179"/>
    <w:rsid w:val="69FA19B3"/>
    <w:rsid w:val="6A682809"/>
    <w:rsid w:val="6A9144DA"/>
    <w:rsid w:val="6ADF01A7"/>
    <w:rsid w:val="6AEB1659"/>
    <w:rsid w:val="6B0477F9"/>
    <w:rsid w:val="6C7042BE"/>
    <w:rsid w:val="6C923542"/>
    <w:rsid w:val="6C930878"/>
    <w:rsid w:val="6D1D776E"/>
    <w:rsid w:val="6D2C4580"/>
    <w:rsid w:val="6D375567"/>
    <w:rsid w:val="6D4F75BC"/>
    <w:rsid w:val="6D5F27E9"/>
    <w:rsid w:val="6D771F7B"/>
    <w:rsid w:val="6D882DE5"/>
    <w:rsid w:val="6D9228B7"/>
    <w:rsid w:val="6DBD2465"/>
    <w:rsid w:val="6E2B3C66"/>
    <w:rsid w:val="6E8E6682"/>
    <w:rsid w:val="6EB00AE6"/>
    <w:rsid w:val="6F033285"/>
    <w:rsid w:val="6F255735"/>
    <w:rsid w:val="6F5E2F7B"/>
    <w:rsid w:val="6F6B7371"/>
    <w:rsid w:val="6FD46B7A"/>
    <w:rsid w:val="704C0497"/>
    <w:rsid w:val="70733D63"/>
    <w:rsid w:val="70A76BD3"/>
    <w:rsid w:val="70C81D19"/>
    <w:rsid w:val="70CF58CB"/>
    <w:rsid w:val="70E2209C"/>
    <w:rsid w:val="70FD61D5"/>
    <w:rsid w:val="71074820"/>
    <w:rsid w:val="713B7229"/>
    <w:rsid w:val="71F74A12"/>
    <w:rsid w:val="72703CD0"/>
    <w:rsid w:val="72B81B50"/>
    <w:rsid w:val="72C62B80"/>
    <w:rsid w:val="731420E4"/>
    <w:rsid w:val="73234976"/>
    <w:rsid w:val="734D7649"/>
    <w:rsid w:val="735B0922"/>
    <w:rsid w:val="7371784D"/>
    <w:rsid w:val="737C3A83"/>
    <w:rsid w:val="73A96DF3"/>
    <w:rsid w:val="74825C38"/>
    <w:rsid w:val="74FC3C2A"/>
    <w:rsid w:val="74FF70F2"/>
    <w:rsid w:val="75250ADF"/>
    <w:rsid w:val="754764E9"/>
    <w:rsid w:val="75711F49"/>
    <w:rsid w:val="75726E64"/>
    <w:rsid w:val="75856942"/>
    <w:rsid w:val="759D49FF"/>
    <w:rsid w:val="76050D24"/>
    <w:rsid w:val="762E6628"/>
    <w:rsid w:val="768324A3"/>
    <w:rsid w:val="76BE73C9"/>
    <w:rsid w:val="76E95490"/>
    <w:rsid w:val="76FC2AF3"/>
    <w:rsid w:val="770D2E23"/>
    <w:rsid w:val="773A62C9"/>
    <w:rsid w:val="774B11E9"/>
    <w:rsid w:val="77A01EFC"/>
    <w:rsid w:val="77BA0A8B"/>
    <w:rsid w:val="788B34BC"/>
    <w:rsid w:val="78AD6F93"/>
    <w:rsid w:val="78C6200B"/>
    <w:rsid w:val="78D4084B"/>
    <w:rsid w:val="78D70743"/>
    <w:rsid w:val="790E106B"/>
    <w:rsid w:val="792B3B30"/>
    <w:rsid w:val="793464F6"/>
    <w:rsid w:val="7994117B"/>
    <w:rsid w:val="79C22C0F"/>
    <w:rsid w:val="79C92E5E"/>
    <w:rsid w:val="79F667E4"/>
    <w:rsid w:val="7A6A77DB"/>
    <w:rsid w:val="7A7371B7"/>
    <w:rsid w:val="7A9B3FAA"/>
    <w:rsid w:val="7AA44033"/>
    <w:rsid w:val="7ACF539B"/>
    <w:rsid w:val="7AF244C2"/>
    <w:rsid w:val="7B0B325E"/>
    <w:rsid w:val="7B185BD0"/>
    <w:rsid w:val="7B215142"/>
    <w:rsid w:val="7B900054"/>
    <w:rsid w:val="7BFE15AB"/>
    <w:rsid w:val="7C155B5A"/>
    <w:rsid w:val="7C8428B8"/>
    <w:rsid w:val="7CD73025"/>
    <w:rsid w:val="7D0D4D9F"/>
    <w:rsid w:val="7D603B4B"/>
    <w:rsid w:val="7DC65E0F"/>
    <w:rsid w:val="7DFB6B1D"/>
    <w:rsid w:val="7E7F6BB6"/>
    <w:rsid w:val="7ECC2174"/>
    <w:rsid w:val="7F375F52"/>
    <w:rsid w:val="7F3B5ADC"/>
    <w:rsid w:val="7F3F6172"/>
    <w:rsid w:val="7F6255E1"/>
    <w:rsid w:val="7F863192"/>
    <w:rsid w:val="7FBC6DDA"/>
    <w:rsid w:val="7FC550C6"/>
    <w:rsid w:val="7FCC40FB"/>
    <w:rsid w:val="7FE55516"/>
    <w:rsid w:val="7FFD16C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0" w:semiHidden="0"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5"/>
    <w:qFormat/>
    <w:uiPriority w:val="99"/>
    <w:pPr>
      <w:autoSpaceDE w:val="0"/>
      <w:autoSpaceDN w:val="0"/>
      <w:adjustRightInd w:val="0"/>
      <w:ind w:right="-197" w:rightChars="-94"/>
      <w:jc w:val="center"/>
      <w:outlineLvl w:val="0"/>
    </w:pPr>
    <w:rPr>
      <w:rFonts w:ascii="黑体" w:hAnsi="宋体" w:eastAsia="黑体" w:cs="黑体"/>
      <w:b/>
      <w:color w:val="000000"/>
      <w:sz w:val="32"/>
      <w:szCs w:val="32"/>
    </w:rPr>
  </w:style>
  <w:style w:type="paragraph" w:styleId="4">
    <w:name w:val="heading 2"/>
    <w:basedOn w:val="1"/>
    <w:next w:val="1"/>
    <w:link w:val="26"/>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numPr>
        <w:ilvl w:val="2"/>
        <w:numId w:val="1"/>
      </w:numPr>
      <w:tabs>
        <w:tab w:val="left" w:pos="2159"/>
      </w:tabs>
      <w:adjustRightInd w:val="0"/>
      <w:spacing w:line="360" w:lineRule="auto"/>
      <w:textAlignment w:val="baseline"/>
      <w:outlineLvl w:val="2"/>
    </w:pPr>
    <w:rPr>
      <w:rFonts w:ascii="宋体" w:hAnsi="Arial" w:cs="Arial"/>
      <w:b/>
      <w:kern w:val="0"/>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rPr>
      <w:kern w:val="0"/>
      <w:sz w:val="20"/>
    </w:rPr>
  </w:style>
  <w:style w:type="paragraph" w:styleId="6">
    <w:name w:val="annotation text"/>
    <w:basedOn w:val="1"/>
    <w:unhideWhenUsed/>
    <w:qFormat/>
    <w:locked/>
    <w:uiPriority w:val="99"/>
    <w:pPr>
      <w:jc w:val="left"/>
    </w:pPr>
  </w:style>
  <w:style w:type="paragraph" w:styleId="7">
    <w:name w:val="Body Text"/>
    <w:basedOn w:val="1"/>
    <w:link w:val="27"/>
    <w:qFormat/>
    <w:uiPriority w:val="99"/>
    <w:pPr>
      <w:spacing w:after="120"/>
    </w:pPr>
  </w:style>
  <w:style w:type="paragraph" w:styleId="8">
    <w:name w:val="Body Text Indent"/>
    <w:basedOn w:val="1"/>
    <w:next w:val="9"/>
    <w:qFormat/>
    <w:locked/>
    <w:uiPriority w:val="0"/>
    <w:pPr>
      <w:snapToGrid w:val="0"/>
      <w:spacing w:line="360" w:lineRule="auto"/>
      <w:ind w:left="240"/>
    </w:pPr>
    <w:rPr>
      <w:rFonts w:ascii="宋体"/>
      <w:kern w:val="10"/>
      <w:sz w:val="24"/>
    </w:rPr>
  </w:style>
  <w:style w:type="paragraph" w:styleId="9">
    <w:name w:val="envelope return"/>
    <w:basedOn w:val="1"/>
    <w:qFormat/>
    <w:locked/>
    <w:uiPriority w:val="0"/>
    <w:pPr>
      <w:snapToGrid w:val="0"/>
    </w:pPr>
    <w:rPr>
      <w:rFonts w:ascii="Arial" w:hAnsi="Arial"/>
    </w:rPr>
  </w:style>
  <w:style w:type="paragraph" w:styleId="10">
    <w:name w:val="endnote text"/>
    <w:basedOn w:val="1"/>
    <w:qFormat/>
    <w:locked/>
    <w:uiPriority w:val="0"/>
    <w:pPr>
      <w:widowControl/>
      <w:snapToGrid w:val="0"/>
      <w:jc w:val="left"/>
    </w:pPr>
  </w:style>
  <w:style w:type="paragraph" w:styleId="11">
    <w:name w:val="Balloon Text"/>
    <w:basedOn w:val="1"/>
    <w:link w:val="35"/>
    <w:unhideWhenUsed/>
    <w:qFormat/>
    <w:locked/>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4">
    <w:name w:val="List"/>
    <w:basedOn w:val="1"/>
    <w:qFormat/>
    <w:uiPriority w:val="99"/>
    <w:pPr>
      <w:ind w:left="200" w:hanging="200" w:hangingChars="200"/>
    </w:pPr>
  </w:style>
  <w:style w:type="paragraph" w:styleId="15">
    <w:name w:val="Body Text 2"/>
    <w:basedOn w:val="1"/>
    <w:qFormat/>
    <w:locked/>
    <w:uiPriority w:val="99"/>
    <w:pPr>
      <w:jc w:val="center"/>
    </w:pPr>
    <w:rPr>
      <w:rFonts w:ascii="Calibri" w:hAnsi="Calibri"/>
    </w:rPr>
  </w:style>
  <w:style w:type="paragraph" w:styleId="16">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7"/>
    <w:qFormat/>
    <w:locked/>
    <w:uiPriority w:val="0"/>
    <w:pPr>
      <w:ind w:firstLine="420"/>
    </w:pPr>
    <w:rPr>
      <w:rFonts w:eastAsia="楷体_GB2312"/>
      <w:szCs w:val="20"/>
    </w:rPr>
  </w:style>
  <w:style w:type="paragraph" w:styleId="18">
    <w:name w:val="Body Text First Indent 2"/>
    <w:basedOn w:val="8"/>
    <w:next w:val="1"/>
    <w:qFormat/>
    <w:locked/>
    <w:uiPriority w:val="0"/>
    <w:pPr>
      <w:ind w:firstLine="420" w:firstLineChars="20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99"/>
    <w:rPr>
      <w:rFonts w:cs="Times New Roman"/>
    </w:rPr>
  </w:style>
  <w:style w:type="character" w:styleId="24">
    <w:name w:val="Hyperlink"/>
    <w:basedOn w:val="21"/>
    <w:unhideWhenUsed/>
    <w:qFormat/>
    <w:locked/>
    <w:uiPriority w:val="99"/>
    <w:rPr>
      <w:color w:val="0000FF"/>
      <w:u w:val="single"/>
    </w:rPr>
  </w:style>
  <w:style w:type="character" w:customStyle="1" w:styleId="25">
    <w:name w:val="标题 1 Char"/>
    <w:basedOn w:val="21"/>
    <w:link w:val="3"/>
    <w:qFormat/>
    <w:locked/>
    <w:uiPriority w:val="99"/>
    <w:rPr>
      <w:rFonts w:ascii="黑体" w:hAnsi="宋体" w:eastAsia="黑体" w:cs="Times New Roman"/>
      <w:b/>
      <w:color w:val="000000"/>
      <w:kern w:val="2"/>
      <w:sz w:val="32"/>
      <w:lang w:val="en-US" w:eastAsia="zh-CN"/>
    </w:rPr>
  </w:style>
  <w:style w:type="character" w:customStyle="1" w:styleId="26">
    <w:name w:val="标题 2 Char"/>
    <w:basedOn w:val="21"/>
    <w:link w:val="4"/>
    <w:semiHidden/>
    <w:qFormat/>
    <w:locked/>
    <w:uiPriority w:val="99"/>
    <w:rPr>
      <w:rFonts w:ascii="Cambria" w:hAnsi="Cambria" w:eastAsia="宋体" w:cs="Times New Roman"/>
      <w:b/>
      <w:bCs/>
      <w:sz w:val="32"/>
      <w:szCs w:val="32"/>
    </w:rPr>
  </w:style>
  <w:style w:type="character" w:customStyle="1" w:styleId="27">
    <w:name w:val="正文文本 Char"/>
    <w:basedOn w:val="21"/>
    <w:link w:val="7"/>
    <w:semiHidden/>
    <w:qFormat/>
    <w:locked/>
    <w:uiPriority w:val="99"/>
    <w:rPr>
      <w:rFonts w:cs="Times New Roman"/>
      <w:sz w:val="20"/>
      <w:szCs w:val="20"/>
    </w:rPr>
  </w:style>
  <w:style w:type="character" w:customStyle="1" w:styleId="28">
    <w:name w:val="页脚 Char"/>
    <w:basedOn w:val="21"/>
    <w:link w:val="12"/>
    <w:semiHidden/>
    <w:qFormat/>
    <w:locked/>
    <w:uiPriority w:val="99"/>
    <w:rPr>
      <w:rFonts w:cs="Times New Roman"/>
      <w:sz w:val="18"/>
      <w:szCs w:val="18"/>
    </w:rPr>
  </w:style>
  <w:style w:type="character" w:customStyle="1" w:styleId="29">
    <w:name w:val="页眉 Char"/>
    <w:basedOn w:val="21"/>
    <w:link w:val="13"/>
    <w:semiHidden/>
    <w:qFormat/>
    <w:locked/>
    <w:uiPriority w:val="99"/>
    <w:rPr>
      <w:rFonts w:cs="Times New Roman"/>
      <w:sz w:val="18"/>
      <w:szCs w:val="18"/>
    </w:rPr>
  </w:style>
  <w:style w:type="paragraph" w:customStyle="1" w:styleId="30">
    <w:name w:val="_Style 30"/>
    <w:basedOn w:val="1"/>
    <w:qFormat/>
    <w:uiPriority w:val="99"/>
  </w:style>
  <w:style w:type="paragraph" w:customStyle="1" w:styleId="31">
    <w:name w:val="_Style 10"/>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32">
    <w:name w:val="列出段落1"/>
    <w:basedOn w:val="1"/>
    <w:qFormat/>
    <w:uiPriority w:val="99"/>
    <w:pPr>
      <w:ind w:firstLine="420" w:firstLineChars="200"/>
    </w:pPr>
  </w:style>
  <w:style w:type="paragraph" w:customStyle="1" w:styleId="33">
    <w:name w:val="列出段落2"/>
    <w:basedOn w:val="1"/>
    <w:qFormat/>
    <w:uiPriority w:val="99"/>
    <w:pPr>
      <w:ind w:firstLine="420" w:firstLineChars="200"/>
    </w:pPr>
  </w:style>
  <w:style w:type="paragraph" w:customStyle="1" w:styleId="34">
    <w:name w:val="列出段落3"/>
    <w:basedOn w:val="1"/>
    <w:qFormat/>
    <w:uiPriority w:val="99"/>
    <w:pPr>
      <w:ind w:firstLine="420" w:firstLineChars="200"/>
    </w:pPr>
    <w:rPr>
      <w:rFonts w:ascii="Times New Roman" w:hAnsi="Times New Roman"/>
      <w:szCs w:val="24"/>
    </w:rPr>
  </w:style>
  <w:style w:type="character" w:customStyle="1" w:styleId="35">
    <w:name w:val="批注框文本 Char"/>
    <w:basedOn w:val="21"/>
    <w:link w:val="11"/>
    <w:semiHidden/>
    <w:qFormat/>
    <w:uiPriority w:val="99"/>
    <w:rPr>
      <w:rFonts w:ascii="Calibri" w:hAnsi="Calibri"/>
      <w:kern w:val="2"/>
      <w:sz w:val="18"/>
      <w:szCs w:val="18"/>
    </w:rPr>
  </w:style>
  <w:style w:type="paragraph" w:customStyle="1" w:styleId="36">
    <w:name w:val="表格文字"/>
    <w:basedOn w:val="1"/>
    <w:next w:val="7"/>
    <w:qFormat/>
    <w:uiPriority w:val="0"/>
    <w:pPr>
      <w:adjustRightInd w:val="0"/>
      <w:spacing w:line="420" w:lineRule="atLeast"/>
      <w:jc w:val="left"/>
      <w:textAlignment w:val="baseline"/>
    </w:pPr>
    <w:rPr>
      <w:kern w:val="0"/>
      <w:szCs w:val="20"/>
    </w:rPr>
  </w:style>
  <w:style w:type="paragraph" w:customStyle="1" w:styleId="37">
    <w:name w:val="Heading1"/>
    <w:basedOn w:val="1"/>
    <w:next w:val="38"/>
    <w:qFormat/>
    <w:uiPriority w:val="0"/>
    <w:pPr>
      <w:keepNext/>
      <w:widowControl/>
      <w:spacing w:before="0" w:after="0" w:line="240" w:lineRule="auto"/>
      <w:ind w:left="0" w:right="0"/>
      <w:jc w:val="left"/>
    </w:pPr>
    <w:rPr>
      <w:rFonts w:ascii="Times New Roman" w:hAnsi="Times New Roman" w:eastAsia="宋体"/>
      <w:kern w:val="0"/>
      <w:sz w:val="24"/>
      <w:szCs w:val="20"/>
      <w:lang w:val="en-US" w:eastAsia="zh-CN" w:bidi="ar-SA"/>
    </w:rPr>
  </w:style>
  <w:style w:type="paragraph" w:customStyle="1" w:styleId="38">
    <w:name w:val="Heading2"/>
    <w:basedOn w:val="1"/>
    <w:next w:val="39"/>
    <w:qFormat/>
    <w:uiPriority w:val="0"/>
    <w:pPr>
      <w:keepNext/>
      <w:spacing w:before="317" w:line="240" w:lineRule="exact"/>
      <w:ind w:left="100"/>
      <w:jc w:val="both"/>
    </w:pPr>
    <w:rPr>
      <w:rFonts w:ascii="Times New Roman" w:hAnsi="Times New Roman" w:eastAsia="宋体"/>
      <w:kern w:val="2"/>
      <w:sz w:val="28"/>
      <w:szCs w:val="24"/>
      <w:lang w:val="en-US" w:eastAsia="zh-CN" w:bidi="ar-SA"/>
    </w:rPr>
  </w:style>
  <w:style w:type="paragraph" w:customStyle="1" w:styleId="39">
    <w:name w:val="Heading3"/>
    <w:basedOn w:val="1"/>
    <w:next w:val="1"/>
    <w:qFormat/>
    <w:uiPriority w:val="0"/>
    <w:pPr>
      <w:keepNext/>
      <w:keepLines/>
      <w:spacing w:before="260" w:after="260" w:line="416" w:lineRule="auto"/>
      <w:jc w:val="both"/>
    </w:pPr>
    <w:rPr>
      <w:rFonts w:cs="Times New Roman"/>
      <w:b/>
      <w:bCs/>
      <w:kern w:val="2"/>
      <w:sz w:val="32"/>
      <w:szCs w:val="32"/>
      <w:lang w:val="en-US" w:eastAsia="zh-CN" w:bidi="ar-SA"/>
    </w:rPr>
  </w:style>
  <w:style w:type="character" w:customStyle="1" w:styleId="40">
    <w:name w:val="fontstyle01"/>
    <w:basedOn w:val="21"/>
    <w:uiPriority w:val="0"/>
    <w:rPr>
      <w:rFonts w:ascii="仿宋_GB2312" w:hAnsi="仿宋_GB2312" w:eastAsia="仿宋_GB2312" w:cs="仿宋_GB2312"/>
      <w:color w:val="000000"/>
      <w:sz w:val="24"/>
      <w:szCs w:val="24"/>
    </w:rPr>
  </w:style>
  <w:style w:type="character" w:customStyle="1" w:styleId="41">
    <w:name w:val="fontstyle21"/>
    <w:basedOn w:val="21"/>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3638</Words>
  <Characters>3741</Characters>
  <Lines>25</Lines>
  <Paragraphs>7</Paragraphs>
  <TotalTime>9</TotalTime>
  <ScaleCrop>false</ScaleCrop>
  <LinksUpToDate>false</LinksUpToDate>
  <CharactersWithSpaces>3902</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2020-09-07T04:11:00Z</dcterms:created>
  <dc:creator>User</dc:creator>
  <cp:lastModifiedBy>YQ</cp:lastModifiedBy>
  <cp:lastPrinted>2024-03-01T02:02:51Z</cp:lastPrinted>
  <dcterms:modified xsi:type="dcterms:W3CDTF">2024-03-01T02:02:54Z</dcterms:modified>
  <dc:title>报价邀请函</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5A3C69053D3C487087403B75927C9C99</vt:lpwstr>
  </property>
</Properties>
</file>