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仿宋" w:hAnsi="仿宋" w:eastAsia="仿宋" w:cs="仿宋"/>
          <w:sz w:val="30"/>
          <w:szCs w:val="30"/>
          <w:lang w:eastAsia="zh-CN"/>
        </w:rPr>
      </w:pPr>
      <w:r>
        <w:rPr>
          <w:rFonts w:hint="eastAsia" w:ascii="仿宋" w:hAnsi="仿宋" w:eastAsia="仿宋" w:cs="仿宋"/>
          <w:b/>
          <w:bCs/>
          <w:sz w:val="32"/>
          <w:szCs w:val="32"/>
          <w:lang w:val="en-US" w:eastAsia="zh-CN"/>
        </w:rPr>
        <w:t>2</w:t>
      </w:r>
      <w:r>
        <w:rPr>
          <w:rFonts w:hint="default" w:ascii="仿宋" w:hAnsi="仿宋" w:eastAsia="仿宋" w:cs="仿宋"/>
          <w:b/>
          <w:bCs/>
          <w:sz w:val="32"/>
          <w:szCs w:val="32"/>
        </w:rPr>
        <w:t>02</w:t>
      </w:r>
      <w:r>
        <w:rPr>
          <w:rFonts w:hint="eastAsia" w:ascii="仿宋" w:hAnsi="仿宋" w:eastAsia="仿宋" w:cs="仿宋"/>
          <w:b/>
          <w:bCs/>
          <w:sz w:val="32"/>
          <w:szCs w:val="32"/>
          <w:lang w:val="en-US" w:eastAsia="zh-CN"/>
        </w:rPr>
        <w:t>5</w:t>
      </w:r>
      <w:r>
        <w:rPr>
          <w:rFonts w:hint="default" w:ascii="仿宋" w:hAnsi="仿宋" w:eastAsia="仿宋" w:cs="仿宋"/>
          <w:b/>
          <w:bCs/>
          <w:sz w:val="32"/>
          <w:szCs w:val="32"/>
        </w:rPr>
        <w:t>年中欧中心商业电量</w:t>
      </w:r>
      <w:r>
        <w:rPr>
          <w:rFonts w:hint="eastAsia" w:ascii="仿宋" w:hAnsi="仿宋" w:eastAsia="仿宋" w:cs="仿宋"/>
          <w:b/>
          <w:bCs/>
          <w:spacing w:val="0"/>
          <w:sz w:val="32"/>
          <w:szCs w:val="32"/>
          <w:lang w:eastAsia="zh-CN"/>
        </w:rPr>
        <w:t>采购</w:t>
      </w:r>
      <w:r>
        <w:rPr>
          <w:rFonts w:hint="default" w:ascii="仿宋" w:hAnsi="仿宋" w:eastAsia="仿宋" w:cs="仿宋"/>
          <w:b/>
          <w:bCs/>
          <w:sz w:val="32"/>
          <w:szCs w:val="32"/>
        </w:rPr>
        <w:t>项目</w:t>
      </w:r>
      <w:r>
        <w:rPr>
          <w:rFonts w:hint="eastAsia" w:ascii="仿宋" w:hAnsi="仿宋" w:eastAsia="仿宋" w:cs="仿宋"/>
          <w:b/>
          <w:bCs/>
          <w:sz w:val="32"/>
          <w:szCs w:val="32"/>
          <w:lang w:eastAsia="zh-CN"/>
        </w:rPr>
        <w:t>（二次）</w:t>
      </w:r>
    </w:p>
    <w:p>
      <w:pPr>
        <w:pStyle w:val="8"/>
        <w:snapToGrid w:val="0"/>
        <w:spacing w:before="0" w:beforeLines="0" w:after="0" w:afterLines="0" w:line="360" w:lineRule="auto"/>
        <w:ind w:firstLine="0" w:firstLineChars="0"/>
        <w:jc w:val="center"/>
        <w:rPr>
          <w:rFonts w:hint="eastAsia" w:ascii="仿宋" w:hAnsi="仿宋" w:eastAsia="仿宋" w:cs="仿宋"/>
          <w:b/>
          <w:bCs/>
          <w:sz w:val="32"/>
          <w:szCs w:val="32"/>
          <w:lang w:eastAsia="zh-CN"/>
        </w:rPr>
      </w:pPr>
      <w:r>
        <w:rPr>
          <w:rFonts w:hint="eastAsia" w:ascii="仿宋" w:hAnsi="仿宋" w:eastAsia="仿宋" w:cs="仿宋"/>
          <w:b/>
          <w:bCs/>
          <w:sz w:val="32"/>
          <w:szCs w:val="32"/>
          <w:lang w:eastAsia="zh-CN"/>
        </w:rPr>
        <w:t>报价单</w:t>
      </w:r>
    </w:p>
    <w:p>
      <w:pPr>
        <w:pStyle w:val="8"/>
        <w:snapToGrid w:val="0"/>
        <w:spacing w:before="0" w:beforeLines="0" w:after="0" w:afterLines="0" w:line="360" w:lineRule="auto"/>
        <w:ind w:firstLine="0" w:firstLineChars="0"/>
        <w:rPr>
          <w:rFonts w:hint="eastAsia" w:ascii="仿宋" w:hAnsi="仿宋" w:eastAsia="仿宋" w:cs="仿宋"/>
          <w:b w:val="0"/>
          <w:bCs w:val="0"/>
          <w:color w:val="313131"/>
          <w:kern w:val="2"/>
          <w:sz w:val="24"/>
          <w:szCs w:val="24"/>
          <w:shd w:val="clear" w:color="auto" w:fill="FFFFFF"/>
        </w:rPr>
      </w:pPr>
      <w:r>
        <w:rPr>
          <w:rFonts w:hint="eastAsia" w:ascii="仿宋" w:hAnsi="仿宋" w:eastAsia="仿宋" w:cs="仿宋"/>
          <w:b/>
          <w:bCs/>
          <w:szCs w:val="21"/>
        </w:rPr>
        <w:t>一、</w:t>
      </w:r>
      <w:r>
        <w:rPr>
          <w:rFonts w:hint="eastAsia" w:ascii="仿宋" w:hAnsi="仿宋" w:eastAsia="仿宋" w:cs="仿宋"/>
          <w:b/>
          <w:bCs/>
          <w:sz w:val="24"/>
          <w:szCs w:val="24"/>
        </w:rPr>
        <w:t>项目概况</w:t>
      </w:r>
    </w:p>
    <w:p>
      <w:pPr>
        <w:snapToGrid w:val="0"/>
        <w:spacing w:beforeLines="0" w:afterLines="0" w:line="360" w:lineRule="auto"/>
        <w:ind w:firstLine="480" w:firstLineChars="200"/>
        <w:rPr>
          <w:rFonts w:hint="eastAsia" w:ascii="仿宋" w:hAnsi="仿宋" w:eastAsia="仿宋" w:cs="仿宋"/>
          <w:color w:val="313131"/>
          <w:sz w:val="24"/>
          <w:szCs w:val="24"/>
          <w:shd w:val="clear" w:color="auto" w:fill="FFFFFF"/>
          <w:lang w:eastAsia="zh-CN"/>
        </w:rPr>
      </w:pPr>
      <w:r>
        <w:rPr>
          <w:rFonts w:hint="eastAsia" w:ascii="仿宋" w:hAnsi="仿宋" w:eastAsia="仿宋" w:cs="仿宋"/>
          <w:color w:val="313131"/>
          <w:sz w:val="24"/>
          <w:szCs w:val="24"/>
          <w:shd w:val="clear" w:color="auto" w:fill="FFFFFF"/>
        </w:rPr>
        <w:t>1、项目名称：</w:t>
      </w:r>
      <w:r>
        <w:rPr>
          <w:rFonts w:hint="eastAsia" w:ascii="仿宋" w:hAnsi="仿宋" w:eastAsia="仿宋" w:cs="仿宋"/>
          <w:color w:val="313131"/>
          <w:sz w:val="24"/>
          <w:szCs w:val="24"/>
          <w:shd w:val="clear" w:color="auto" w:fill="FFFFFF"/>
          <w:lang w:val="en-US" w:eastAsia="zh-CN"/>
        </w:rPr>
        <w:t>2</w:t>
      </w:r>
      <w:r>
        <w:rPr>
          <w:rFonts w:hint="eastAsia" w:ascii="仿宋" w:hAnsi="仿宋" w:eastAsia="仿宋" w:cs="仿宋"/>
          <w:color w:val="313131"/>
          <w:sz w:val="24"/>
          <w:szCs w:val="24"/>
          <w:shd w:val="clear" w:color="auto" w:fill="FFFFFF"/>
        </w:rPr>
        <w:t>02</w:t>
      </w:r>
      <w:r>
        <w:rPr>
          <w:rFonts w:hint="eastAsia" w:ascii="仿宋" w:hAnsi="仿宋" w:eastAsia="仿宋" w:cs="仿宋"/>
          <w:color w:val="313131"/>
          <w:sz w:val="24"/>
          <w:szCs w:val="24"/>
          <w:shd w:val="clear" w:color="auto" w:fill="FFFFFF"/>
          <w:lang w:eastAsia="zh-CN"/>
        </w:rPr>
        <w:t>5</w:t>
      </w:r>
      <w:r>
        <w:rPr>
          <w:rFonts w:hint="eastAsia" w:ascii="仿宋" w:hAnsi="仿宋" w:eastAsia="仿宋" w:cs="仿宋"/>
          <w:color w:val="313131"/>
          <w:sz w:val="24"/>
          <w:szCs w:val="24"/>
          <w:shd w:val="clear" w:color="auto" w:fill="FFFFFF"/>
        </w:rPr>
        <w:t>年中欧中心商业电量</w:t>
      </w:r>
      <w:r>
        <w:rPr>
          <w:rFonts w:hint="eastAsia" w:ascii="仿宋" w:hAnsi="仿宋" w:eastAsia="仿宋" w:cs="仿宋"/>
          <w:color w:val="313131"/>
          <w:spacing w:val="0"/>
          <w:sz w:val="24"/>
          <w:szCs w:val="24"/>
          <w:shd w:val="clear" w:color="auto" w:fill="FFFFFF"/>
          <w:lang w:eastAsia="zh-CN"/>
        </w:rPr>
        <w:t>采购</w:t>
      </w:r>
      <w:r>
        <w:rPr>
          <w:rFonts w:hint="eastAsia" w:ascii="仿宋" w:hAnsi="仿宋" w:eastAsia="仿宋" w:cs="仿宋"/>
          <w:color w:val="313131"/>
          <w:sz w:val="24"/>
          <w:szCs w:val="24"/>
          <w:shd w:val="clear" w:color="auto" w:fill="FFFFFF"/>
        </w:rPr>
        <w:t>项目（二次）</w:t>
      </w:r>
      <w:r>
        <w:rPr>
          <w:rFonts w:hint="eastAsia" w:ascii="仿宋" w:hAnsi="仿宋" w:eastAsia="仿宋" w:cs="仿宋"/>
          <w:color w:val="313131"/>
          <w:sz w:val="24"/>
          <w:szCs w:val="24"/>
          <w:shd w:val="clear" w:color="auto" w:fill="FFFFFF"/>
          <w:lang w:eastAsia="zh-CN"/>
        </w:rPr>
        <w:t>；</w:t>
      </w:r>
    </w:p>
    <w:p>
      <w:pPr>
        <w:snapToGrid w:val="0"/>
        <w:spacing w:beforeLines="0" w:afterLines="0" w:line="360" w:lineRule="auto"/>
        <w:ind w:firstLine="480" w:firstLineChars="200"/>
        <w:rPr>
          <w:rFonts w:hint="eastAsia" w:ascii="仿宋" w:hAnsi="仿宋" w:eastAsia="仿宋" w:cs="仿宋"/>
          <w:color w:val="313131"/>
          <w:szCs w:val="21"/>
          <w:shd w:val="clear" w:color="auto" w:fill="FFFFFF"/>
          <w:lang w:eastAsia="zh-CN"/>
        </w:rPr>
      </w:pPr>
      <w:r>
        <w:rPr>
          <w:rFonts w:hint="eastAsia" w:ascii="仿宋" w:hAnsi="仿宋" w:eastAsia="仿宋" w:cs="仿宋"/>
          <w:color w:val="313131"/>
          <w:sz w:val="24"/>
          <w:szCs w:val="24"/>
          <w:shd w:val="clear" w:color="auto" w:fill="FFFFFF"/>
        </w:rPr>
        <w:t>2、服务期：自广东电力交易中心有限公司对备案合同确认生效之日</w:t>
      </w:r>
      <w:r>
        <w:rPr>
          <w:rFonts w:hint="eastAsia" w:ascii="仿宋" w:hAnsi="仿宋" w:eastAsia="仿宋" w:cs="仿宋"/>
          <w:color w:val="313131"/>
          <w:sz w:val="24"/>
          <w:szCs w:val="24"/>
          <w:shd w:val="clear" w:color="auto" w:fill="FFFFFF"/>
          <w:lang w:eastAsia="zh-CN"/>
        </w:rPr>
        <w:t>起至</w:t>
      </w:r>
      <w:r>
        <w:rPr>
          <w:rFonts w:hint="eastAsia" w:ascii="仿宋" w:hAnsi="仿宋" w:eastAsia="仿宋" w:cs="仿宋"/>
          <w:color w:val="313131"/>
          <w:sz w:val="24"/>
          <w:szCs w:val="24"/>
          <w:shd w:val="clear" w:color="auto" w:fill="FFFFFF"/>
          <w:lang w:val="en-US" w:eastAsia="zh-CN"/>
        </w:rPr>
        <w:t>2025年12月31日止</w:t>
      </w:r>
      <w:r>
        <w:rPr>
          <w:rFonts w:hint="eastAsia" w:ascii="仿宋" w:hAnsi="仿宋" w:eastAsia="仿宋" w:cs="仿宋"/>
          <w:color w:val="313131"/>
          <w:sz w:val="24"/>
          <w:szCs w:val="24"/>
          <w:shd w:val="clear" w:color="auto" w:fill="FFFFFF"/>
          <w:lang w:eastAsia="zh-CN"/>
        </w:rPr>
        <w:t>。</w:t>
      </w:r>
    </w:p>
    <w:p>
      <w:pPr>
        <w:numPr>
          <w:ilvl w:val="0"/>
          <w:numId w:val="0"/>
        </w:numPr>
        <w:snapToGrid w:val="0"/>
        <w:spacing w:beforeLines="0" w:afterLines="0" w:line="360" w:lineRule="auto"/>
        <w:rPr>
          <w:rFonts w:hint="eastAsia" w:ascii="仿宋" w:hAnsi="仿宋" w:eastAsia="仿宋" w:cs="仿宋"/>
          <w:b/>
          <w:bCs/>
          <w:color w:val="313131"/>
          <w:sz w:val="24"/>
          <w:szCs w:val="24"/>
          <w:shd w:val="clear" w:color="auto" w:fill="FFFFFF"/>
        </w:rPr>
      </w:pPr>
      <w:r>
        <w:rPr>
          <w:rFonts w:hint="eastAsia" w:ascii="仿宋" w:hAnsi="仿宋" w:eastAsia="仿宋" w:cs="仿宋"/>
          <w:b/>
          <w:bCs/>
          <w:color w:val="313131"/>
          <w:sz w:val="24"/>
          <w:szCs w:val="24"/>
          <w:shd w:val="clear" w:color="auto" w:fill="FFFFFF"/>
          <w:lang w:val="en-US" w:eastAsia="zh-CN"/>
        </w:rPr>
        <w:t>二、</w:t>
      </w:r>
      <w:r>
        <w:rPr>
          <w:rFonts w:hint="eastAsia" w:ascii="仿宋" w:hAnsi="仿宋" w:eastAsia="仿宋" w:cs="仿宋"/>
          <w:b/>
          <w:bCs/>
          <w:color w:val="313131"/>
          <w:sz w:val="24"/>
          <w:szCs w:val="24"/>
          <w:shd w:val="clear" w:color="auto" w:fill="FFFFFF"/>
        </w:rPr>
        <w:t>项目内容</w:t>
      </w:r>
    </w:p>
    <w:p>
      <w:pPr>
        <w:pStyle w:val="19"/>
        <w:keepNext w:val="0"/>
        <w:keepLines w:val="0"/>
        <w:pageBreakBefore w:val="0"/>
        <w:widowControl w:val="0"/>
        <w:numPr>
          <w:ilvl w:val="0"/>
          <w:numId w:val="0"/>
        </w:numPr>
        <w:kinsoku/>
        <w:wordWrap/>
        <w:overflowPunct/>
        <w:topLinePunct w:val="0"/>
        <w:autoSpaceDE/>
        <w:autoSpaceDN/>
        <w:bidi w:val="0"/>
        <w:adjustRightInd/>
        <w:snapToGrid/>
        <w:spacing w:beforeLines="0" w:afterLines="0" w:line="360" w:lineRule="auto"/>
        <w:ind w:left="0" w:firstLine="480" w:firstLineChars="200"/>
        <w:textAlignment w:val="auto"/>
        <w:rPr>
          <w:rFonts w:hint="eastAsia" w:ascii="仿宋" w:hAnsi="仿宋" w:eastAsia="仿宋" w:cs="仿宋"/>
          <w:b w:val="0"/>
          <w:bCs w:val="0"/>
          <w:szCs w:val="24"/>
          <w:lang w:eastAsia="zh-CN"/>
        </w:rPr>
      </w:pPr>
      <w:r>
        <w:rPr>
          <w:rFonts w:hint="eastAsia" w:ascii="仿宋" w:hAnsi="仿宋" w:eastAsia="仿宋" w:cs="仿宋"/>
          <w:b w:val="0"/>
          <w:bCs w:val="0"/>
          <w:szCs w:val="24"/>
          <w:lang w:eastAsia="zh-CN"/>
        </w:rPr>
        <w:t>1、报价</w:t>
      </w:r>
    </w:p>
    <w:p>
      <w:pPr>
        <w:pStyle w:val="19"/>
        <w:keepNext w:val="0"/>
        <w:keepLines w:val="0"/>
        <w:pageBreakBefore w:val="0"/>
        <w:widowControl w:val="0"/>
        <w:numPr>
          <w:ilvl w:val="0"/>
          <w:numId w:val="0"/>
        </w:numPr>
        <w:kinsoku/>
        <w:wordWrap/>
        <w:overflowPunct/>
        <w:topLinePunct w:val="0"/>
        <w:autoSpaceDE/>
        <w:autoSpaceDN/>
        <w:bidi w:val="0"/>
        <w:adjustRightInd/>
        <w:snapToGrid/>
        <w:spacing w:beforeLines="0" w:afterLines="0" w:line="360" w:lineRule="auto"/>
        <w:ind w:left="0" w:firstLine="480" w:firstLineChars="200"/>
        <w:textAlignment w:val="auto"/>
        <w:rPr>
          <w:rFonts w:hint="eastAsia" w:ascii="仿宋" w:hAnsi="仿宋" w:eastAsia="仿宋" w:cs="仿宋"/>
          <w:b w:val="0"/>
          <w:bCs w:val="0"/>
          <w:szCs w:val="24"/>
          <w:lang w:val="en-US" w:eastAsia="zh-CN"/>
        </w:rPr>
      </w:pPr>
      <w:r>
        <w:rPr>
          <w:rFonts w:hint="eastAsia" w:ascii="仿宋" w:hAnsi="仿宋" w:eastAsia="仿宋" w:cs="仿宋"/>
          <w:b w:val="0"/>
          <w:bCs w:val="0"/>
          <w:szCs w:val="24"/>
          <w:lang w:eastAsia="zh-CN"/>
        </w:rPr>
        <w:t>项目</w:t>
      </w:r>
      <w:r>
        <w:rPr>
          <w:rFonts w:hint="eastAsia" w:ascii="仿宋" w:hAnsi="仿宋" w:eastAsia="仿宋" w:cs="仿宋"/>
          <w:b w:val="0"/>
          <w:bCs w:val="0"/>
          <w:szCs w:val="24"/>
          <w:lang w:val="en-US" w:eastAsia="zh-CN"/>
        </w:rPr>
        <w:t>控制单价（90%电能电费）</w:t>
      </w:r>
      <w:r>
        <w:rPr>
          <w:rFonts w:hint="eastAsia" w:ascii="仿宋" w:hAnsi="仿宋" w:eastAsia="仿宋" w:cs="仿宋"/>
          <w:b w:val="0"/>
          <w:bCs w:val="0"/>
          <w:szCs w:val="24"/>
          <w:lang w:eastAsia="zh-CN"/>
        </w:rPr>
        <w:t>为：</w:t>
      </w:r>
      <w:r>
        <w:rPr>
          <w:rFonts w:hint="eastAsia" w:ascii="仿宋" w:hAnsi="仿宋" w:eastAsia="仿宋" w:cs="仿宋"/>
          <w:b w:val="0"/>
          <w:bCs w:val="0"/>
          <w:szCs w:val="24"/>
          <w:lang w:val="en-US" w:eastAsia="zh-CN"/>
        </w:rPr>
        <w:t>¥0.477元/千瓦时（含税）；</w:t>
      </w:r>
    </w:p>
    <w:p>
      <w:pPr>
        <w:pStyle w:val="19"/>
        <w:keepNext w:val="0"/>
        <w:keepLines w:val="0"/>
        <w:pageBreakBefore w:val="0"/>
        <w:widowControl w:val="0"/>
        <w:numPr>
          <w:ilvl w:val="0"/>
          <w:numId w:val="0"/>
        </w:numPr>
        <w:kinsoku/>
        <w:wordWrap/>
        <w:overflowPunct/>
        <w:topLinePunct w:val="0"/>
        <w:autoSpaceDE/>
        <w:autoSpaceDN/>
        <w:bidi w:val="0"/>
        <w:adjustRightInd/>
        <w:snapToGrid/>
        <w:spacing w:beforeLines="0" w:afterLines="0" w:line="360" w:lineRule="auto"/>
        <w:ind w:left="0" w:firstLine="480" w:firstLineChars="200"/>
        <w:textAlignment w:val="auto"/>
        <w:rPr>
          <w:rFonts w:hint="eastAsia" w:ascii="仿宋" w:hAnsi="仿宋" w:eastAsia="仿宋" w:cs="仿宋"/>
          <w:b w:val="0"/>
          <w:bCs w:val="0"/>
          <w:szCs w:val="24"/>
          <w:lang w:eastAsia="zh-CN"/>
        </w:rPr>
      </w:pPr>
      <w:r>
        <w:rPr>
          <w:rFonts w:hint="eastAsia" w:ascii="仿宋" w:hAnsi="仿宋" w:eastAsia="仿宋" w:cs="仿宋"/>
          <w:b w:val="0"/>
          <w:bCs w:val="0"/>
          <w:szCs w:val="24"/>
          <w:lang w:eastAsia="zh-CN"/>
        </w:rPr>
        <w:t>项目控制</w:t>
      </w:r>
      <w:r>
        <w:rPr>
          <w:rFonts w:hint="eastAsia" w:ascii="仿宋" w:hAnsi="仿宋" w:eastAsia="仿宋" w:cs="仿宋"/>
          <w:b w:val="0"/>
          <w:bCs w:val="0"/>
          <w:szCs w:val="24"/>
          <w:lang w:val="en-US" w:eastAsia="zh-CN"/>
        </w:rPr>
        <w:t>总</w:t>
      </w:r>
      <w:r>
        <w:rPr>
          <w:rFonts w:hint="eastAsia" w:ascii="仿宋" w:hAnsi="仿宋" w:eastAsia="仿宋" w:cs="仿宋"/>
          <w:b w:val="0"/>
          <w:bCs w:val="0"/>
          <w:szCs w:val="24"/>
          <w:lang w:eastAsia="zh-CN"/>
        </w:rPr>
        <w:t>价为：</w:t>
      </w:r>
      <w:r>
        <w:rPr>
          <w:rFonts w:hint="eastAsia" w:ascii="仿宋" w:hAnsi="仿宋" w:eastAsia="仿宋" w:cs="仿宋"/>
          <w:b w:val="0"/>
          <w:bCs w:val="0"/>
          <w:szCs w:val="24"/>
          <w:lang w:val="en-US" w:eastAsia="zh-CN"/>
        </w:rPr>
        <w:t>¥4531500.00</w:t>
      </w:r>
      <w:r>
        <w:rPr>
          <w:rFonts w:hint="eastAsia" w:ascii="仿宋" w:hAnsi="仿宋" w:eastAsia="仿宋" w:cs="仿宋"/>
          <w:b w:val="0"/>
          <w:bCs w:val="0"/>
          <w:szCs w:val="24"/>
          <w:lang w:eastAsia="zh-CN"/>
        </w:rPr>
        <w:t>元（</w:t>
      </w:r>
      <w:r>
        <w:rPr>
          <w:rFonts w:hint="eastAsia" w:ascii="仿宋" w:hAnsi="仿宋" w:eastAsia="仿宋" w:cs="仿宋"/>
          <w:b w:val="0"/>
          <w:bCs w:val="0"/>
          <w:szCs w:val="24"/>
          <w:lang w:val="en-US" w:eastAsia="zh-CN"/>
        </w:rPr>
        <w:t>项目预计用电量为950万千瓦时</w:t>
      </w:r>
      <w:r>
        <w:rPr>
          <w:rFonts w:hint="eastAsia" w:ascii="仿宋" w:hAnsi="仿宋" w:eastAsia="仿宋" w:cs="仿宋"/>
          <w:b w:val="0"/>
          <w:bCs w:val="0"/>
          <w:szCs w:val="24"/>
          <w:lang w:eastAsia="zh-CN"/>
        </w:rPr>
        <w:t>），含税。</w:t>
      </w:r>
      <w:r>
        <w:rPr>
          <w:rFonts w:hint="eastAsia" w:ascii="仿宋" w:hAnsi="仿宋" w:eastAsia="仿宋" w:cs="仿宋"/>
          <w:szCs w:val="24"/>
        </w:rPr>
        <w:t>注：单价报价不得高于</w:t>
      </w:r>
      <w:r>
        <w:rPr>
          <w:rFonts w:hint="eastAsia" w:ascii="仿宋" w:hAnsi="仿宋" w:eastAsia="仿宋" w:cs="仿宋"/>
          <w:szCs w:val="24"/>
          <w:lang w:eastAsia="zh-CN"/>
        </w:rPr>
        <w:t>项目</w:t>
      </w:r>
      <w:r>
        <w:rPr>
          <w:rFonts w:hint="eastAsia" w:ascii="仿宋" w:hAnsi="仿宋" w:eastAsia="仿宋" w:cs="仿宋"/>
          <w:szCs w:val="24"/>
        </w:rPr>
        <w:t>单价控制价，报价总价不得高于</w:t>
      </w:r>
      <w:r>
        <w:rPr>
          <w:rFonts w:hint="eastAsia" w:ascii="仿宋" w:hAnsi="仿宋" w:eastAsia="仿宋" w:cs="仿宋"/>
          <w:szCs w:val="24"/>
          <w:lang w:eastAsia="zh-CN"/>
        </w:rPr>
        <w:t>项目</w:t>
      </w:r>
      <w:r>
        <w:rPr>
          <w:rFonts w:hint="eastAsia" w:ascii="仿宋" w:hAnsi="仿宋" w:eastAsia="仿宋" w:cs="仿宋"/>
          <w:szCs w:val="24"/>
        </w:rPr>
        <w:t>控制</w:t>
      </w:r>
      <w:r>
        <w:rPr>
          <w:rFonts w:hint="eastAsia" w:ascii="仿宋" w:hAnsi="仿宋" w:eastAsia="仿宋" w:cs="仿宋"/>
          <w:szCs w:val="24"/>
          <w:lang w:eastAsia="zh-CN"/>
        </w:rPr>
        <w:t>总</w:t>
      </w:r>
      <w:r>
        <w:rPr>
          <w:rFonts w:hint="eastAsia" w:ascii="仿宋" w:hAnsi="仿宋" w:eastAsia="仿宋" w:cs="仿宋"/>
          <w:szCs w:val="24"/>
        </w:rPr>
        <w:t>价，否则视为无效</w:t>
      </w:r>
      <w:r>
        <w:rPr>
          <w:rFonts w:hint="eastAsia" w:ascii="仿宋" w:hAnsi="仿宋" w:eastAsia="仿宋" w:cs="仿宋"/>
          <w:szCs w:val="24"/>
          <w:lang w:eastAsia="zh-CN"/>
        </w:rPr>
        <w:t>报价</w:t>
      </w:r>
      <w:r>
        <w:rPr>
          <w:rFonts w:hint="eastAsia" w:ascii="仿宋" w:hAnsi="仿宋" w:eastAsia="仿宋" w:cs="仿宋"/>
          <w:szCs w:val="24"/>
        </w:rPr>
        <w:t>。</w:t>
      </w:r>
    </w:p>
    <w:tbl>
      <w:tblPr>
        <w:tblStyle w:val="9"/>
        <w:tblpPr w:leftFromText="180" w:rightFromText="180" w:vertAnchor="text" w:horzAnchor="page" w:tblpX="472" w:tblpY="286"/>
        <w:tblOverlap w:val="never"/>
        <w:tblW w:w="1084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660"/>
        <w:gridCol w:w="1530"/>
        <w:gridCol w:w="1485"/>
        <w:gridCol w:w="1725"/>
        <w:gridCol w:w="1320"/>
        <w:gridCol w:w="1395"/>
        <w:gridCol w:w="1365"/>
        <w:gridCol w:w="136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60" w:hRule="atLeast"/>
        </w:trPr>
        <w:tc>
          <w:tcPr>
            <w:tcW w:w="66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snapToGrid w:val="0"/>
                <w:color w:val="000000"/>
                <w:kern w:val="0"/>
                <w:sz w:val="21"/>
                <w:szCs w:val="21"/>
                <w:u w:val="none"/>
                <w:lang w:val="en-US" w:eastAsia="zh-CN" w:bidi="ar"/>
              </w:rPr>
              <w:t>序号</w:t>
            </w:r>
          </w:p>
        </w:tc>
        <w:tc>
          <w:tcPr>
            <w:tcW w:w="153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snapToGrid w:val="0"/>
                <w:color w:val="000000"/>
                <w:kern w:val="0"/>
                <w:sz w:val="21"/>
                <w:szCs w:val="21"/>
                <w:u w:val="none"/>
                <w:lang w:val="en-US" w:eastAsia="zh-CN" w:bidi="ar"/>
              </w:rPr>
              <w:t>项目名称</w:t>
            </w:r>
          </w:p>
        </w:tc>
        <w:tc>
          <w:tcPr>
            <w:tcW w:w="148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snapToGrid w:val="0"/>
                <w:color w:val="000000"/>
                <w:kern w:val="0"/>
                <w:sz w:val="21"/>
                <w:szCs w:val="21"/>
                <w:u w:val="none"/>
                <w:lang w:val="en-US" w:eastAsia="zh-CN" w:bidi="ar"/>
              </w:rPr>
            </w:pPr>
            <w:r>
              <w:rPr>
                <w:rFonts w:hint="eastAsia" w:ascii="宋体" w:hAnsi="宋体" w:eastAsia="宋体" w:cs="宋体"/>
                <w:b/>
                <w:bCs/>
                <w:i w:val="0"/>
                <w:iCs w:val="0"/>
                <w:snapToGrid w:val="0"/>
                <w:color w:val="000000"/>
                <w:kern w:val="0"/>
                <w:sz w:val="21"/>
                <w:szCs w:val="21"/>
                <w:u w:val="none"/>
                <w:lang w:val="en-US" w:eastAsia="zh-CN" w:bidi="ar"/>
              </w:rPr>
              <w:t>用电量</w:t>
            </w:r>
          </w:p>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snapToGrid w:val="0"/>
                <w:color w:val="000000"/>
                <w:kern w:val="0"/>
                <w:sz w:val="21"/>
                <w:szCs w:val="21"/>
                <w:u w:val="none"/>
                <w:lang w:val="en-US" w:eastAsia="zh-CN" w:bidi="ar"/>
              </w:rPr>
              <w:t>（千瓦时）</w:t>
            </w:r>
          </w:p>
        </w:tc>
        <w:tc>
          <w:tcPr>
            <w:tcW w:w="172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snapToGrid w:val="0"/>
                <w:color w:val="000000"/>
                <w:kern w:val="0"/>
                <w:sz w:val="21"/>
                <w:szCs w:val="21"/>
                <w:u w:val="none"/>
                <w:lang w:val="en-US" w:eastAsia="zh-CN" w:bidi="ar"/>
              </w:rPr>
              <w:t>服务期</w:t>
            </w:r>
          </w:p>
        </w:tc>
        <w:tc>
          <w:tcPr>
            <w:tcW w:w="132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center"/>
              <w:textAlignment w:val="center"/>
              <w:rPr>
                <w:rFonts w:hint="eastAsia" w:ascii="宋体" w:hAnsi="宋体" w:eastAsia="宋体" w:cs="宋体"/>
                <w:b/>
                <w:bCs/>
                <w:i w:val="0"/>
                <w:iCs w:val="0"/>
                <w:snapToGrid w:val="0"/>
                <w:color w:val="000000"/>
                <w:kern w:val="0"/>
                <w:sz w:val="21"/>
                <w:szCs w:val="21"/>
                <w:u w:val="none"/>
                <w:lang w:val="en-US" w:eastAsia="zh-CN" w:bidi="ar"/>
              </w:rPr>
            </w:pPr>
            <w:r>
              <w:rPr>
                <w:rFonts w:hint="eastAsia" w:ascii="宋体" w:hAnsi="宋体" w:eastAsia="宋体" w:cs="宋体"/>
                <w:b/>
                <w:bCs/>
                <w:i w:val="0"/>
                <w:iCs w:val="0"/>
                <w:snapToGrid w:val="0"/>
                <w:color w:val="000000"/>
                <w:kern w:val="0"/>
                <w:sz w:val="21"/>
                <w:szCs w:val="21"/>
                <w:u w:val="none"/>
                <w:lang w:val="en-US" w:eastAsia="zh-CN" w:bidi="ar"/>
              </w:rPr>
              <w:t>单价</w:t>
            </w:r>
          </w:p>
          <w:p>
            <w:pPr>
              <w:keepNext w:val="0"/>
              <w:keepLines w:val="0"/>
              <w:widowControl/>
              <w:suppressLineNumbers w:val="0"/>
              <w:spacing w:line="360" w:lineRule="auto"/>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snapToGrid w:val="0"/>
                <w:color w:val="000000"/>
                <w:kern w:val="0"/>
                <w:sz w:val="21"/>
                <w:szCs w:val="21"/>
                <w:u w:val="none"/>
                <w:lang w:val="en-US" w:eastAsia="zh-CN" w:bidi="ar"/>
              </w:rPr>
              <w:t>（元/千瓦时，不含税）</w:t>
            </w:r>
          </w:p>
        </w:tc>
        <w:tc>
          <w:tcPr>
            <w:tcW w:w="139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center"/>
              <w:textAlignment w:val="center"/>
              <w:rPr>
                <w:rFonts w:hint="eastAsia" w:ascii="宋体" w:hAnsi="宋体" w:eastAsia="宋体" w:cs="宋体"/>
                <w:b/>
                <w:bCs/>
                <w:i w:val="0"/>
                <w:iCs w:val="0"/>
                <w:snapToGrid w:val="0"/>
                <w:color w:val="000000"/>
                <w:kern w:val="0"/>
                <w:sz w:val="21"/>
                <w:szCs w:val="21"/>
                <w:u w:val="none"/>
                <w:lang w:val="en-US" w:eastAsia="zh-CN" w:bidi="ar"/>
              </w:rPr>
            </w:pPr>
            <w:r>
              <w:rPr>
                <w:rFonts w:hint="eastAsia" w:ascii="宋体" w:hAnsi="宋体" w:eastAsia="宋体" w:cs="宋体"/>
                <w:b/>
                <w:bCs/>
                <w:i w:val="0"/>
                <w:iCs w:val="0"/>
                <w:snapToGrid w:val="0"/>
                <w:color w:val="000000"/>
                <w:kern w:val="0"/>
                <w:sz w:val="21"/>
                <w:szCs w:val="21"/>
                <w:u w:val="none"/>
                <w:lang w:val="en-US" w:eastAsia="zh-CN" w:bidi="ar"/>
              </w:rPr>
              <w:t>单价</w:t>
            </w:r>
          </w:p>
          <w:p>
            <w:pPr>
              <w:keepNext w:val="0"/>
              <w:keepLines w:val="0"/>
              <w:widowControl/>
              <w:suppressLineNumbers w:val="0"/>
              <w:spacing w:line="360" w:lineRule="auto"/>
              <w:jc w:val="center"/>
              <w:textAlignment w:val="center"/>
              <w:rPr>
                <w:rFonts w:hint="eastAsia" w:ascii="宋体" w:hAnsi="宋体" w:eastAsia="宋体" w:cs="宋体"/>
                <w:b/>
                <w:bCs/>
                <w:i w:val="0"/>
                <w:iCs w:val="0"/>
                <w:snapToGrid w:val="0"/>
                <w:color w:val="000000"/>
                <w:kern w:val="0"/>
                <w:sz w:val="21"/>
                <w:szCs w:val="21"/>
                <w:u w:val="none"/>
                <w:lang w:val="en-US" w:eastAsia="zh-CN" w:bidi="ar"/>
              </w:rPr>
            </w:pPr>
            <w:r>
              <w:rPr>
                <w:rFonts w:hint="eastAsia" w:ascii="宋体" w:hAnsi="宋体" w:eastAsia="宋体" w:cs="宋体"/>
                <w:b/>
                <w:bCs/>
                <w:i w:val="0"/>
                <w:iCs w:val="0"/>
                <w:snapToGrid w:val="0"/>
                <w:color w:val="000000"/>
                <w:kern w:val="0"/>
                <w:sz w:val="21"/>
                <w:szCs w:val="21"/>
                <w:u w:val="none"/>
                <w:lang w:val="en-US" w:eastAsia="zh-CN" w:bidi="ar"/>
              </w:rPr>
              <w:t>（元/千瓦时，含税）</w:t>
            </w:r>
          </w:p>
        </w:tc>
        <w:tc>
          <w:tcPr>
            <w:tcW w:w="136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center"/>
              <w:textAlignment w:val="center"/>
              <w:rPr>
                <w:rFonts w:hint="eastAsia" w:ascii="宋体" w:hAnsi="宋体" w:eastAsia="宋体" w:cs="宋体"/>
                <w:b/>
                <w:bCs/>
                <w:i w:val="0"/>
                <w:iCs w:val="0"/>
                <w:snapToGrid w:val="0"/>
                <w:color w:val="000000"/>
                <w:kern w:val="0"/>
                <w:sz w:val="21"/>
                <w:szCs w:val="21"/>
                <w:u w:val="none"/>
                <w:lang w:val="en-US" w:eastAsia="zh-CN" w:bidi="ar"/>
              </w:rPr>
            </w:pPr>
            <w:r>
              <w:rPr>
                <w:rFonts w:hint="eastAsia" w:ascii="宋体" w:hAnsi="宋体" w:eastAsia="宋体" w:cs="宋体"/>
                <w:b/>
                <w:bCs/>
                <w:i w:val="0"/>
                <w:iCs w:val="0"/>
                <w:snapToGrid w:val="0"/>
                <w:color w:val="000000"/>
                <w:kern w:val="0"/>
                <w:sz w:val="21"/>
                <w:szCs w:val="21"/>
                <w:u w:val="none"/>
                <w:lang w:val="en-US" w:eastAsia="zh-CN" w:bidi="ar"/>
              </w:rPr>
              <w:t>合计</w:t>
            </w:r>
          </w:p>
          <w:p>
            <w:pPr>
              <w:keepNext w:val="0"/>
              <w:keepLines w:val="0"/>
              <w:widowControl/>
              <w:suppressLineNumbers w:val="0"/>
              <w:spacing w:line="360" w:lineRule="auto"/>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snapToGrid w:val="0"/>
                <w:color w:val="000000"/>
                <w:kern w:val="0"/>
                <w:sz w:val="21"/>
                <w:szCs w:val="21"/>
                <w:u w:val="none"/>
                <w:lang w:val="en-US" w:eastAsia="zh-CN" w:bidi="ar"/>
              </w:rPr>
              <w:t>（元，不含税）</w:t>
            </w:r>
          </w:p>
        </w:tc>
        <w:tc>
          <w:tcPr>
            <w:tcW w:w="136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center"/>
              <w:textAlignment w:val="center"/>
              <w:rPr>
                <w:rFonts w:hint="eastAsia" w:ascii="宋体" w:hAnsi="宋体" w:eastAsia="宋体" w:cs="宋体"/>
                <w:b/>
                <w:bCs/>
                <w:i w:val="0"/>
                <w:iCs w:val="0"/>
                <w:snapToGrid w:val="0"/>
                <w:color w:val="000000"/>
                <w:kern w:val="0"/>
                <w:sz w:val="21"/>
                <w:szCs w:val="21"/>
                <w:u w:val="none"/>
                <w:lang w:val="en-US" w:eastAsia="zh-CN" w:bidi="ar"/>
              </w:rPr>
            </w:pPr>
            <w:r>
              <w:rPr>
                <w:rFonts w:hint="eastAsia" w:ascii="宋体" w:hAnsi="宋体" w:eastAsia="宋体" w:cs="宋体"/>
                <w:b/>
                <w:bCs/>
                <w:i w:val="0"/>
                <w:iCs w:val="0"/>
                <w:snapToGrid w:val="0"/>
                <w:color w:val="000000"/>
                <w:kern w:val="0"/>
                <w:sz w:val="21"/>
                <w:szCs w:val="21"/>
                <w:u w:val="none"/>
                <w:lang w:val="en-US" w:eastAsia="zh-CN" w:bidi="ar"/>
              </w:rPr>
              <w:t>合计</w:t>
            </w:r>
          </w:p>
          <w:p>
            <w:pPr>
              <w:keepNext w:val="0"/>
              <w:keepLines w:val="0"/>
              <w:widowControl/>
              <w:suppressLineNumbers w:val="0"/>
              <w:spacing w:line="360" w:lineRule="auto"/>
              <w:jc w:val="center"/>
              <w:textAlignment w:val="center"/>
              <w:rPr>
                <w:rFonts w:hint="eastAsia" w:ascii="宋体" w:hAnsi="宋体" w:eastAsia="宋体" w:cs="宋体"/>
                <w:b/>
                <w:bCs/>
                <w:i w:val="0"/>
                <w:iCs w:val="0"/>
                <w:snapToGrid w:val="0"/>
                <w:color w:val="000000"/>
                <w:kern w:val="0"/>
                <w:sz w:val="21"/>
                <w:szCs w:val="21"/>
                <w:u w:val="none"/>
                <w:lang w:val="en-US" w:eastAsia="zh-CN" w:bidi="ar"/>
              </w:rPr>
            </w:pPr>
            <w:r>
              <w:rPr>
                <w:rFonts w:hint="eastAsia" w:ascii="宋体" w:hAnsi="宋体" w:eastAsia="宋体" w:cs="宋体"/>
                <w:b/>
                <w:bCs/>
                <w:i w:val="0"/>
                <w:iCs w:val="0"/>
                <w:snapToGrid w:val="0"/>
                <w:color w:val="000000"/>
                <w:kern w:val="0"/>
                <w:sz w:val="21"/>
                <w:szCs w:val="21"/>
                <w:u w:val="none"/>
                <w:lang w:val="en-US" w:eastAsia="zh-CN" w:bidi="ar"/>
              </w:rPr>
              <w:t>（元，含税）</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60" w:hRule="atLeast"/>
        </w:trPr>
        <w:tc>
          <w:tcPr>
            <w:tcW w:w="66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w:t>
            </w:r>
          </w:p>
        </w:tc>
        <w:tc>
          <w:tcPr>
            <w:tcW w:w="153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color w:val="auto"/>
                <w:szCs w:val="21"/>
              </w:rPr>
              <w:t>202</w:t>
            </w:r>
            <w:r>
              <w:rPr>
                <w:rFonts w:hint="eastAsia" w:ascii="宋体" w:hAnsi="宋体" w:cs="宋体"/>
                <w:color w:val="auto"/>
                <w:szCs w:val="21"/>
                <w:lang w:val="en-US" w:eastAsia="zh-CN"/>
              </w:rPr>
              <w:t>5</w:t>
            </w:r>
            <w:r>
              <w:rPr>
                <w:rFonts w:hint="eastAsia" w:ascii="宋体" w:hAnsi="宋体" w:eastAsia="宋体" w:cs="宋体"/>
                <w:color w:val="auto"/>
                <w:szCs w:val="21"/>
              </w:rPr>
              <w:t>年中欧中心商业电量</w:t>
            </w:r>
            <w:r>
              <w:rPr>
                <w:rFonts w:hint="eastAsia" w:ascii="宋体" w:hAnsi="宋体" w:cs="宋体"/>
                <w:color w:val="auto"/>
                <w:szCs w:val="21"/>
                <w:lang w:eastAsia="zh-CN"/>
              </w:rPr>
              <w:t>采购</w:t>
            </w:r>
            <w:r>
              <w:rPr>
                <w:rFonts w:hint="eastAsia" w:ascii="宋体" w:hAnsi="宋体" w:eastAsia="宋体" w:cs="宋体"/>
                <w:color w:val="auto"/>
                <w:szCs w:val="21"/>
              </w:rPr>
              <w:t>项目（二次）</w:t>
            </w:r>
          </w:p>
        </w:tc>
        <w:tc>
          <w:tcPr>
            <w:tcW w:w="148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jc w:val="center"/>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snapToGrid w:val="0"/>
                <w:color w:val="000000"/>
                <w:kern w:val="0"/>
                <w:sz w:val="21"/>
                <w:szCs w:val="21"/>
                <w:u w:val="none"/>
                <w:lang w:val="en-US" w:eastAsia="zh-CN" w:bidi="ar"/>
              </w:rPr>
              <w:t>9500000</w:t>
            </w:r>
          </w:p>
        </w:tc>
        <w:tc>
          <w:tcPr>
            <w:tcW w:w="172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360" w:lineRule="auto"/>
              <w:ind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cs="宋体"/>
                <w:color w:val="auto"/>
                <w:szCs w:val="21"/>
              </w:rPr>
              <w:t>自广东电力交易中心有</w:t>
            </w:r>
            <w:bookmarkStart w:id="0" w:name="_GoBack"/>
            <w:bookmarkEnd w:id="0"/>
            <w:r>
              <w:rPr>
                <w:rFonts w:hint="eastAsia" w:ascii="宋体" w:hAnsi="宋体" w:cs="宋体"/>
                <w:color w:val="auto"/>
                <w:szCs w:val="21"/>
              </w:rPr>
              <w:t>限公司对备案合同确认生效之日起至</w:t>
            </w:r>
            <w:r>
              <w:rPr>
                <w:rFonts w:hint="eastAsia" w:ascii="宋体" w:hAnsi="宋体" w:eastAsia="宋体" w:cs="宋体"/>
                <w:color w:val="auto"/>
                <w:szCs w:val="21"/>
              </w:rPr>
              <w:t>202</w:t>
            </w:r>
            <w:r>
              <w:rPr>
                <w:rFonts w:hint="eastAsia" w:ascii="宋体" w:hAnsi="宋体" w:cs="宋体"/>
                <w:color w:val="auto"/>
                <w:szCs w:val="21"/>
                <w:lang w:val="en-US" w:eastAsia="zh-CN"/>
              </w:rPr>
              <w:t>5</w:t>
            </w:r>
            <w:r>
              <w:rPr>
                <w:rFonts w:hint="eastAsia" w:ascii="宋体" w:hAnsi="宋体" w:eastAsia="宋体" w:cs="宋体"/>
                <w:color w:val="auto"/>
                <w:szCs w:val="21"/>
              </w:rPr>
              <w:t>年12月31日</w:t>
            </w:r>
            <w:r>
              <w:rPr>
                <w:rFonts w:hint="eastAsia" w:ascii="宋体" w:hAnsi="宋体" w:cs="宋体"/>
                <w:color w:val="auto"/>
                <w:szCs w:val="21"/>
                <w:lang w:eastAsia="zh-CN"/>
              </w:rPr>
              <w:t>止</w:t>
            </w:r>
          </w:p>
        </w:tc>
        <w:tc>
          <w:tcPr>
            <w:tcW w:w="132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rPr>
            </w:pPr>
          </w:p>
        </w:tc>
        <w:tc>
          <w:tcPr>
            <w:tcW w:w="139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rPr>
            </w:pPr>
          </w:p>
        </w:tc>
        <w:tc>
          <w:tcPr>
            <w:tcW w:w="136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136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8" w:hRule="atLeast"/>
        </w:trPr>
        <w:tc>
          <w:tcPr>
            <w:tcW w:w="10845" w:type="dxa"/>
            <w:gridSpan w:val="8"/>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 xml:space="preserve">税目： </w:t>
            </w:r>
            <w:r>
              <w:rPr>
                <w:rStyle w:val="22"/>
                <w:snapToGrid w:val="0"/>
                <w:color w:val="000000"/>
                <w:lang w:val="en-US" w:eastAsia="zh-CN" w:bidi="ar"/>
              </w:rPr>
              <w:t xml:space="preserve">             </w:t>
            </w:r>
            <w:r>
              <w:rPr>
                <w:rFonts w:hint="eastAsia" w:ascii="宋体" w:hAnsi="宋体" w:eastAsia="宋体" w:cs="宋体"/>
                <w:i w:val="0"/>
                <w:iCs w:val="0"/>
                <w:snapToGrid w:val="0"/>
                <w:color w:val="000000"/>
                <w:kern w:val="0"/>
                <w:sz w:val="21"/>
                <w:szCs w:val="21"/>
                <w:u w:val="none"/>
                <w:lang w:val="en-US" w:eastAsia="zh-CN" w:bidi="ar"/>
              </w:rPr>
              <w:t xml:space="preserve"> （如</w:t>
            </w:r>
            <w:r>
              <w:rPr>
                <w:rFonts w:hint="eastAsia" w:ascii="宋体" w:hAnsi="宋体" w:eastAsia="宋体" w:cs="宋体"/>
                <w:snapToGrid w:val="0"/>
                <w:color w:val="000000"/>
                <w:kern w:val="0"/>
                <w:szCs w:val="21"/>
                <w:u w:val="none"/>
                <w:lang w:bidi="ar"/>
              </w:rPr>
              <w:t>技术研发服务</w:t>
            </w:r>
            <w:r>
              <w:rPr>
                <w:rFonts w:hint="eastAsia" w:ascii="宋体" w:hAnsi="宋体" w:eastAsia="宋体" w:cs="宋体"/>
                <w:i w:val="0"/>
                <w:iCs w:val="0"/>
                <w:snapToGrid w:val="0"/>
                <w:color w:val="000000"/>
                <w:kern w:val="0"/>
                <w:sz w:val="21"/>
                <w:szCs w:val="21"/>
                <w:u w:val="none"/>
                <w:lang w:val="en-US" w:eastAsia="zh-CN" w:bidi="ar"/>
              </w:rPr>
              <w:t xml:space="preserve">）；税率： </w:t>
            </w:r>
            <w:r>
              <w:rPr>
                <w:rStyle w:val="22"/>
                <w:snapToGrid w:val="0"/>
                <w:color w:val="000000"/>
                <w:lang w:val="en-US" w:eastAsia="zh-CN" w:bidi="ar"/>
              </w:rPr>
              <w:t xml:space="preserve">              </w:t>
            </w:r>
            <w:r>
              <w:rPr>
                <w:rFonts w:hint="eastAsia" w:ascii="宋体" w:hAnsi="宋体" w:eastAsia="宋体" w:cs="宋体"/>
                <w:i w:val="0"/>
                <w:iCs w:val="0"/>
                <w:snapToGrid w:val="0"/>
                <w:color w:val="000000"/>
                <w:kern w:val="0"/>
                <w:sz w:val="21"/>
                <w:szCs w:val="21"/>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8" w:hRule="atLeast"/>
        </w:trPr>
        <w:tc>
          <w:tcPr>
            <w:tcW w:w="10845" w:type="dxa"/>
            <w:gridSpan w:val="8"/>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b/>
                <w:bCs/>
                <w:i w:val="0"/>
                <w:iCs w:val="0"/>
                <w:snapToGrid w:val="0"/>
                <w:color w:val="000000"/>
                <w:kern w:val="0"/>
                <w:sz w:val="21"/>
                <w:szCs w:val="21"/>
                <w:u w:val="none"/>
                <w:lang w:val="en-US" w:eastAsia="zh-CN" w:bidi="ar"/>
              </w:rPr>
              <w:t>合计：大写人民币</w:t>
            </w:r>
            <w:r>
              <w:rPr>
                <w:rFonts w:hint="eastAsia" w:ascii="宋体" w:hAnsi="宋体" w:eastAsia="宋体" w:cs="宋体"/>
                <w:b/>
                <w:bCs/>
                <w:i w:val="0"/>
                <w:iCs w:val="0"/>
                <w:snapToGrid w:val="0"/>
                <w:color w:val="000000"/>
                <w:kern w:val="0"/>
                <w:sz w:val="21"/>
                <w:szCs w:val="21"/>
                <w:u w:val="single"/>
                <w:lang w:val="en-US" w:eastAsia="zh-CN" w:bidi="ar"/>
              </w:rPr>
              <w:t xml:space="preserve">              </w:t>
            </w:r>
            <w:r>
              <w:rPr>
                <w:rFonts w:hint="eastAsia" w:ascii="宋体" w:hAnsi="宋体" w:eastAsia="宋体" w:cs="宋体"/>
                <w:b/>
                <w:bCs/>
                <w:i w:val="0"/>
                <w:iCs w:val="0"/>
                <w:snapToGrid w:val="0"/>
                <w:color w:val="000000"/>
                <w:kern w:val="0"/>
                <w:sz w:val="21"/>
                <w:szCs w:val="21"/>
                <w:u w:val="none"/>
                <w:lang w:val="en-US" w:eastAsia="zh-CN" w:bidi="ar"/>
              </w:rPr>
              <w:t>元，含税</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86" w:hRule="atLeast"/>
        </w:trPr>
        <w:tc>
          <w:tcPr>
            <w:tcW w:w="10845" w:type="dxa"/>
            <w:gridSpan w:val="8"/>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注：</w:t>
            </w:r>
            <w:r>
              <w:rPr>
                <w:rStyle w:val="24"/>
                <w:rFonts w:hint="eastAsia"/>
                <w:snapToGrid w:val="0"/>
                <w:color w:val="000000"/>
                <w:lang w:bidi="ar"/>
              </w:rPr>
              <w:t>本项目采用单价承包，按实结算方式。报价中包含但不限于管理、服务等全部工作人员的工资、各类补贴、加班费、社会保险、经济补偿等人员成本费用、驻场服务涉及的费用（装备、工具费用）、耗材及软硬件设备的投入费用、后勤及管理费用、税费、合理利润、风险费用及合同实施过程中的应预见和不可预见费用等完成合同规定责任和义务、达到合同目的的一切费用及企业利润。</w:t>
            </w:r>
          </w:p>
        </w:tc>
      </w:tr>
    </w:tbl>
    <w:p>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ascii="宋体" w:hAnsi="宋体" w:eastAsia="宋体" w:cs="宋体"/>
          <w:b/>
          <w:bCs/>
        </w:rPr>
      </w:pPr>
      <w:r>
        <w:rPr>
          <w:rFonts w:hint="eastAsia" w:ascii="宋体" w:hAnsi="宋体" w:cs="宋体"/>
          <w:b/>
          <w:bCs/>
          <w:lang w:eastAsia="zh-CN"/>
        </w:rPr>
        <w:t>注：</w:t>
      </w:r>
      <w:r>
        <w:rPr>
          <w:rFonts w:hint="eastAsia" w:ascii="宋体" w:hAnsi="宋体" w:cs="宋体"/>
          <w:b/>
          <w:bCs/>
          <w:lang w:val="en-US" w:eastAsia="zh-CN"/>
        </w:rPr>
        <w:t>（1）</w:t>
      </w:r>
      <w:r>
        <w:rPr>
          <w:rFonts w:hint="eastAsia" w:ascii="宋体" w:hAnsi="宋体" w:eastAsia="宋体" w:cs="宋体"/>
          <w:b/>
          <w:bCs/>
        </w:rPr>
        <w:t>当出现报价中文大写金额和小写金额不一致的，以中文大写金额为准；若出现总价金额与按单价汇总金额不一致的，以单价汇总金额为准。</w:t>
      </w:r>
    </w:p>
    <w:p>
      <w:pPr>
        <w:keepNext w:val="0"/>
        <w:keepLines w:val="0"/>
        <w:pageBreakBefore w:val="0"/>
        <w:widowControl/>
        <w:numPr>
          <w:ilvl w:val="0"/>
          <w:numId w:val="0"/>
        </w:numPr>
        <w:shd w:val="clear" w:color="auto" w:fill="auto"/>
        <w:kinsoku/>
        <w:wordWrap/>
        <w:overflowPunct/>
        <w:topLinePunct w:val="0"/>
        <w:autoSpaceDE/>
        <w:autoSpaceDN/>
        <w:bidi w:val="0"/>
        <w:adjustRightInd/>
        <w:snapToGrid/>
        <w:spacing w:line="360" w:lineRule="auto"/>
        <w:ind w:firstLine="843" w:firstLineChars="400"/>
        <w:jc w:val="left"/>
        <w:textAlignment w:val="auto"/>
        <w:rPr>
          <w:rFonts w:hint="eastAsia" w:ascii="宋体" w:hAnsi="宋体" w:eastAsia="宋体" w:cs="宋体"/>
          <w:b/>
          <w:bCs/>
          <w:color w:val="000000"/>
          <w:spacing w:val="-18"/>
          <w:sz w:val="22"/>
          <w:szCs w:val="22"/>
          <w:lang w:eastAsia="zh-CN"/>
        </w:rPr>
      </w:pPr>
      <w:r>
        <w:rPr>
          <w:rFonts w:hint="eastAsia" w:ascii="宋体" w:hAnsi="宋体" w:eastAsia="宋体" w:cs="宋体"/>
          <w:b/>
          <w:bCs/>
          <w:lang w:eastAsia="zh-CN"/>
        </w:rPr>
        <w:t>（</w:t>
      </w:r>
      <w:r>
        <w:rPr>
          <w:rFonts w:hint="eastAsia" w:ascii="宋体" w:hAnsi="宋体" w:eastAsia="宋体" w:cs="宋体"/>
          <w:b/>
          <w:bCs/>
          <w:lang w:val="en-US" w:eastAsia="zh-CN"/>
        </w:rPr>
        <w:t>2</w:t>
      </w:r>
      <w:r>
        <w:rPr>
          <w:rFonts w:hint="eastAsia" w:ascii="宋体" w:hAnsi="宋体" w:eastAsia="宋体" w:cs="宋体"/>
          <w:b/>
          <w:bCs/>
          <w:lang w:eastAsia="zh-CN"/>
        </w:rPr>
        <w:t>）</w:t>
      </w:r>
      <w:r>
        <w:rPr>
          <w:rFonts w:hint="eastAsia" w:ascii="宋体" w:hAnsi="宋体" w:eastAsia="宋体" w:cs="宋体"/>
          <w:b/>
          <w:bCs/>
        </w:rPr>
        <w:t>以人民币报价,并保留小数点后</w:t>
      </w:r>
      <w:r>
        <w:rPr>
          <w:rFonts w:hint="eastAsia" w:ascii="宋体" w:hAnsi="宋体" w:eastAsia="宋体" w:cs="宋体"/>
          <w:b/>
          <w:bCs/>
          <w:lang w:val="en-US" w:eastAsia="zh-CN"/>
        </w:rPr>
        <w:t>四</w:t>
      </w:r>
      <w:r>
        <w:rPr>
          <w:rFonts w:hint="eastAsia" w:ascii="宋体" w:hAnsi="宋体" w:eastAsia="宋体" w:cs="宋体"/>
          <w:b/>
          <w:bCs/>
        </w:rPr>
        <w:t>位。</w:t>
      </w:r>
    </w:p>
    <w:p>
      <w:pPr>
        <w:pStyle w:val="19"/>
        <w:keepNext w:val="0"/>
        <w:keepLines w:val="0"/>
        <w:pageBreakBefore w:val="0"/>
        <w:widowControl w:val="0"/>
        <w:kinsoku/>
        <w:wordWrap/>
        <w:overflowPunct/>
        <w:topLinePunct w:val="0"/>
        <w:autoSpaceDE/>
        <w:autoSpaceDN/>
        <w:bidi w:val="0"/>
        <w:adjustRightInd/>
        <w:snapToGrid/>
        <w:spacing w:beforeLines="0" w:afterLines="0" w:line="360" w:lineRule="auto"/>
        <w:ind w:firstLine="0" w:firstLineChars="0"/>
        <w:textAlignment w:val="auto"/>
        <w:rPr>
          <w:rFonts w:hint="eastAsia" w:ascii="仿宋" w:hAnsi="仿宋" w:eastAsia="仿宋" w:cs="仿宋"/>
          <w:b/>
          <w:bCs/>
          <w:szCs w:val="24"/>
          <w:highlight w:val="none"/>
          <w:lang w:val="en-US" w:eastAsia="zh-CN"/>
        </w:rPr>
      </w:pPr>
    </w:p>
    <w:p>
      <w:pPr>
        <w:pStyle w:val="19"/>
        <w:keepNext w:val="0"/>
        <w:keepLines w:val="0"/>
        <w:pageBreakBefore w:val="0"/>
        <w:widowControl w:val="0"/>
        <w:kinsoku/>
        <w:wordWrap/>
        <w:overflowPunct/>
        <w:topLinePunct w:val="0"/>
        <w:autoSpaceDE/>
        <w:autoSpaceDN/>
        <w:bidi w:val="0"/>
        <w:adjustRightInd/>
        <w:snapToGrid/>
        <w:spacing w:beforeLines="0" w:afterLines="0" w:line="360" w:lineRule="auto"/>
        <w:ind w:firstLine="0" w:firstLineChars="0"/>
        <w:textAlignment w:val="auto"/>
        <w:rPr>
          <w:rFonts w:hint="eastAsia" w:ascii="仿宋" w:hAnsi="仿宋" w:eastAsia="仿宋" w:cs="仿宋"/>
          <w:b w:val="0"/>
          <w:bCs w:val="0"/>
          <w:szCs w:val="24"/>
          <w:highlight w:val="none"/>
          <w:lang w:val="en-US" w:eastAsia="zh-CN"/>
        </w:rPr>
      </w:pPr>
      <w:r>
        <w:rPr>
          <w:rFonts w:hint="eastAsia" w:ascii="仿宋" w:hAnsi="仿宋" w:eastAsia="仿宋" w:cs="仿宋"/>
          <w:b/>
          <w:bCs/>
          <w:szCs w:val="24"/>
          <w:highlight w:val="none"/>
          <w:lang w:val="en-US" w:eastAsia="zh-CN"/>
        </w:rPr>
        <w:t>三、</w:t>
      </w:r>
      <w:r>
        <w:rPr>
          <w:rFonts w:hint="eastAsia" w:ascii="仿宋" w:hAnsi="仿宋" w:eastAsia="仿宋" w:cs="仿宋"/>
          <w:szCs w:val="24"/>
          <w:highlight w:val="none"/>
        </w:rPr>
        <w:t>项目质量（或工作成果）要求：符合相关规定并达到合格标准。</w:t>
      </w:r>
    </w:p>
    <w:p>
      <w:pPr>
        <w:pStyle w:val="19"/>
        <w:numPr>
          <w:ilvl w:val="0"/>
          <w:numId w:val="0"/>
        </w:numPr>
        <w:snapToGrid/>
        <w:spacing w:beforeLines="0" w:afterLines="0" w:line="360" w:lineRule="auto"/>
        <w:ind w:left="0" w:firstLine="0"/>
        <w:rPr>
          <w:rFonts w:hint="default" w:ascii="仿宋" w:hAnsi="仿宋" w:eastAsia="仿宋" w:cs="仿宋"/>
          <w:b w:val="0"/>
          <w:bCs w:val="0"/>
          <w:szCs w:val="24"/>
          <w:lang w:val="en-US" w:eastAsia="zh-CN"/>
        </w:rPr>
      </w:pPr>
      <w:r>
        <w:rPr>
          <w:rFonts w:hint="eastAsia" w:ascii="仿宋" w:hAnsi="仿宋" w:eastAsia="仿宋" w:cs="仿宋"/>
          <w:b/>
          <w:bCs/>
          <w:szCs w:val="24"/>
          <w:highlight w:val="none"/>
          <w:lang w:val="en-US" w:eastAsia="zh-CN"/>
        </w:rPr>
        <w:t>四</w:t>
      </w:r>
      <w:r>
        <w:rPr>
          <w:rFonts w:hint="eastAsia" w:ascii="仿宋" w:hAnsi="仿宋" w:eastAsia="仿宋" w:cs="仿宋"/>
          <w:b/>
          <w:bCs/>
          <w:szCs w:val="24"/>
          <w:lang w:val="en-US" w:eastAsia="zh-CN"/>
        </w:rPr>
        <w:t>、</w:t>
      </w:r>
      <w:r>
        <w:rPr>
          <w:rFonts w:hint="eastAsia" w:ascii="仿宋" w:hAnsi="仿宋" w:eastAsia="仿宋" w:cs="仿宋"/>
          <w:b w:val="0"/>
          <w:bCs w:val="0"/>
          <w:szCs w:val="24"/>
          <w:lang w:val="en-US" w:eastAsia="zh-CN"/>
        </w:rPr>
        <w:t>该项目</w:t>
      </w:r>
      <w:r>
        <w:rPr>
          <w:rFonts w:hint="eastAsia" w:ascii="仿宋" w:hAnsi="仿宋" w:eastAsia="仿宋" w:cs="仿宋"/>
          <w:b w:val="0"/>
          <w:bCs w:val="0"/>
          <w:kern w:val="0"/>
          <w:szCs w:val="21"/>
        </w:rPr>
        <w:t>以“不含税总报价”作横向比价，以合理最低价法选择委托单位。如不含税总报价相同</w:t>
      </w:r>
      <w:r>
        <w:rPr>
          <w:rFonts w:hint="eastAsia" w:ascii="仿宋" w:hAnsi="仿宋" w:eastAsia="仿宋" w:cs="仿宋"/>
          <w:b w:val="0"/>
          <w:bCs w:val="0"/>
          <w:kern w:val="0"/>
          <w:szCs w:val="21"/>
          <w:lang w:eastAsia="zh-CN"/>
        </w:rPr>
        <w:t>，</w:t>
      </w:r>
      <w:r>
        <w:rPr>
          <w:rFonts w:hint="eastAsia" w:ascii="仿宋" w:hAnsi="仿宋" w:eastAsia="仿宋" w:cs="仿宋"/>
          <w:b w:val="0"/>
          <w:bCs w:val="0"/>
          <w:kern w:val="0"/>
          <w:szCs w:val="21"/>
        </w:rPr>
        <w:t>则选取税率较</w:t>
      </w:r>
      <w:r>
        <w:rPr>
          <w:rFonts w:hint="eastAsia" w:ascii="仿宋" w:hAnsi="仿宋" w:eastAsia="仿宋" w:cs="仿宋"/>
          <w:b w:val="0"/>
          <w:bCs w:val="0"/>
          <w:kern w:val="0"/>
          <w:szCs w:val="21"/>
          <w:lang w:eastAsia="zh-CN"/>
        </w:rPr>
        <w:t>低</w:t>
      </w:r>
      <w:r>
        <w:rPr>
          <w:rFonts w:hint="eastAsia" w:ascii="仿宋" w:hAnsi="仿宋" w:eastAsia="仿宋" w:cs="仿宋"/>
          <w:b w:val="0"/>
          <w:bCs w:val="0"/>
          <w:kern w:val="0"/>
          <w:szCs w:val="21"/>
        </w:rPr>
        <w:t>者；如</w:t>
      </w:r>
      <w:r>
        <w:rPr>
          <w:rFonts w:hint="eastAsia" w:ascii="仿宋" w:hAnsi="仿宋" w:eastAsia="仿宋" w:cs="仿宋"/>
          <w:kern w:val="0"/>
          <w:szCs w:val="21"/>
        </w:rPr>
        <w:t>不含税总</w:t>
      </w:r>
      <w:r>
        <w:rPr>
          <w:rFonts w:hint="eastAsia" w:ascii="仿宋" w:hAnsi="仿宋" w:eastAsia="仿宋" w:cs="仿宋"/>
          <w:b w:val="0"/>
          <w:bCs w:val="0"/>
          <w:kern w:val="0"/>
          <w:szCs w:val="21"/>
        </w:rPr>
        <w:t>报价、税率</w:t>
      </w:r>
      <w:r>
        <w:rPr>
          <w:rFonts w:hint="eastAsia" w:ascii="仿宋" w:hAnsi="仿宋" w:eastAsia="仿宋" w:cs="仿宋"/>
          <w:b w:val="0"/>
          <w:bCs w:val="0"/>
          <w:kern w:val="0"/>
          <w:szCs w:val="21"/>
          <w:lang w:eastAsia="zh-CN"/>
        </w:rPr>
        <w:t>均相同，</w:t>
      </w:r>
      <w:r>
        <w:rPr>
          <w:rFonts w:hint="eastAsia" w:ascii="仿宋" w:hAnsi="仿宋" w:eastAsia="仿宋" w:cs="仿宋"/>
          <w:b w:val="0"/>
          <w:bCs w:val="0"/>
          <w:kern w:val="0"/>
          <w:szCs w:val="21"/>
        </w:rPr>
        <w:t>则采用</w:t>
      </w:r>
      <w:r>
        <w:rPr>
          <w:rFonts w:hint="eastAsia" w:ascii="仿宋" w:hAnsi="仿宋" w:eastAsia="仿宋" w:cs="仿宋"/>
          <w:b w:val="0"/>
          <w:bCs w:val="0"/>
          <w:kern w:val="0"/>
          <w:szCs w:val="21"/>
          <w:lang w:eastAsia="zh-CN"/>
        </w:rPr>
        <w:t>随机摇珠</w:t>
      </w:r>
      <w:r>
        <w:rPr>
          <w:rFonts w:hint="eastAsia" w:ascii="仿宋" w:hAnsi="仿宋" w:eastAsia="仿宋" w:cs="仿宋"/>
          <w:b w:val="0"/>
          <w:bCs w:val="0"/>
          <w:kern w:val="0"/>
          <w:szCs w:val="21"/>
        </w:rPr>
        <w:t>抽取。</w:t>
      </w:r>
    </w:p>
    <w:p>
      <w:pPr>
        <w:pStyle w:val="20"/>
        <w:spacing w:beforeLines="0" w:afterLines="0" w:line="360" w:lineRule="auto"/>
        <w:ind w:firstLine="0" w:firstLineChars="0"/>
        <w:jc w:val="left"/>
        <w:rPr>
          <w:rFonts w:hint="eastAsia" w:ascii="仿宋" w:hAnsi="仿宋" w:eastAsia="仿宋" w:cs="仿宋"/>
          <w:b/>
          <w:bCs/>
          <w:szCs w:val="21"/>
        </w:rPr>
      </w:pPr>
      <w:r>
        <w:rPr>
          <w:rFonts w:hint="eastAsia" w:ascii="仿宋" w:hAnsi="仿宋" w:eastAsia="仿宋" w:cs="仿宋"/>
          <w:b/>
          <w:bCs/>
          <w:szCs w:val="21"/>
          <w:lang w:val="en-US" w:eastAsia="zh-CN"/>
        </w:rPr>
        <w:t>五</w:t>
      </w:r>
      <w:r>
        <w:rPr>
          <w:rFonts w:hint="eastAsia" w:ascii="仿宋" w:hAnsi="仿宋" w:eastAsia="仿宋" w:cs="仿宋"/>
          <w:b/>
          <w:bCs/>
          <w:szCs w:val="21"/>
        </w:rPr>
        <w:t>、责任及义务：</w:t>
      </w:r>
    </w:p>
    <w:p>
      <w:pPr>
        <w:spacing w:beforeLines="0" w:afterLines="0" w:line="360" w:lineRule="auto"/>
        <w:ind w:firstLine="480" w:firstLineChars="200"/>
        <w:rPr>
          <w:rFonts w:hint="eastAsia" w:ascii="仿宋" w:hAnsi="仿宋" w:eastAsia="仿宋" w:cs="仿宋"/>
          <w:kern w:val="0"/>
          <w:sz w:val="24"/>
        </w:rPr>
      </w:pPr>
      <w:r>
        <w:rPr>
          <w:rFonts w:hint="eastAsia" w:ascii="仿宋" w:hAnsi="仿宋" w:eastAsia="仿宋" w:cs="仿宋"/>
          <w:bCs/>
          <w:sz w:val="24"/>
        </w:rPr>
        <w:t>1、应严格遵守国家有关法规及规章制度，并对自身安全负完全责任。</w:t>
      </w:r>
      <w:r>
        <w:rPr>
          <w:rFonts w:hint="eastAsia" w:ascii="仿宋" w:hAnsi="仿宋" w:eastAsia="仿宋" w:cs="仿宋"/>
          <w:kern w:val="0"/>
          <w:sz w:val="24"/>
          <w:lang w:eastAsia="zh-CN"/>
        </w:rPr>
        <w:t>报价单位</w:t>
      </w:r>
      <w:r>
        <w:rPr>
          <w:rFonts w:hint="eastAsia" w:ascii="仿宋" w:hAnsi="仿宋" w:eastAsia="仿宋" w:cs="仿宋"/>
          <w:kern w:val="0"/>
          <w:sz w:val="24"/>
        </w:rPr>
        <w:t>自行购买工作人员保险，</w:t>
      </w:r>
      <w:r>
        <w:rPr>
          <w:rFonts w:hint="eastAsia" w:ascii="仿宋" w:hAnsi="仿宋" w:eastAsia="仿宋" w:cs="仿宋"/>
          <w:kern w:val="0"/>
          <w:sz w:val="24"/>
          <w:lang w:eastAsia="zh-CN"/>
        </w:rPr>
        <w:t>报价单位</w:t>
      </w:r>
      <w:r>
        <w:rPr>
          <w:rFonts w:hint="eastAsia" w:ascii="仿宋" w:hAnsi="仿宋" w:eastAsia="仿宋" w:cs="仿宋"/>
          <w:kern w:val="0"/>
          <w:sz w:val="24"/>
        </w:rPr>
        <w:t>员工在甲方场地进行工作时，其人身安全应得到必要地合理保护，</w:t>
      </w:r>
      <w:r>
        <w:rPr>
          <w:rFonts w:hint="eastAsia" w:ascii="仿宋" w:hAnsi="仿宋" w:eastAsia="仿宋" w:cs="仿宋"/>
          <w:kern w:val="0"/>
          <w:sz w:val="24"/>
          <w:lang w:eastAsia="zh-CN"/>
        </w:rPr>
        <w:t>报价单位</w:t>
      </w:r>
      <w:r>
        <w:rPr>
          <w:rFonts w:hint="eastAsia" w:ascii="仿宋" w:hAnsi="仿宋" w:eastAsia="仿宋" w:cs="仿宋"/>
          <w:kern w:val="0"/>
          <w:sz w:val="24"/>
        </w:rPr>
        <w:t>工作人员在任何情况下发生安全事故，均由</w:t>
      </w:r>
      <w:r>
        <w:rPr>
          <w:rFonts w:hint="eastAsia" w:ascii="仿宋" w:hAnsi="仿宋" w:eastAsia="仿宋" w:cs="仿宋"/>
          <w:kern w:val="0"/>
          <w:sz w:val="24"/>
          <w:lang w:eastAsia="zh-CN"/>
        </w:rPr>
        <w:t>报价单位</w:t>
      </w:r>
      <w:r>
        <w:rPr>
          <w:rFonts w:hint="eastAsia" w:ascii="仿宋" w:hAnsi="仿宋" w:eastAsia="仿宋" w:cs="仿宋"/>
          <w:kern w:val="0"/>
          <w:sz w:val="24"/>
        </w:rPr>
        <w:t>负责。</w:t>
      </w:r>
    </w:p>
    <w:p>
      <w:pPr>
        <w:pStyle w:val="8"/>
        <w:spacing w:before="0" w:beforeLines="0" w:after="0" w:afterLines="0" w:line="360" w:lineRule="auto"/>
        <w:ind w:firstLine="480" w:firstLineChars="200"/>
        <w:rPr>
          <w:rFonts w:hint="eastAsia" w:ascii="仿宋" w:hAnsi="仿宋" w:eastAsia="仿宋" w:cs="仿宋"/>
          <w:bCs/>
          <w:kern w:val="2"/>
          <w:sz w:val="24"/>
          <w:szCs w:val="22"/>
        </w:rPr>
      </w:pPr>
      <w:r>
        <w:rPr>
          <w:rFonts w:hint="eastAsia" w:ascii="仿宋" w:hAnsi="仿宋" w:eastAsia="仿宋" w:cs="仿宋"/>
          <w:bCs/>
          <w:kern w:val="2"/>
          <w:sz w:val="24"/>
          <w:szCs w:val="22"/>
        </w:rPr>
        <w:t>2、现场工作人员必须全部经过技术培训,并持国家认可的资格证书方可上岗。</w:t>
      </w:r>
    </w:p>
    <w:p>
      <w:pPr>
        <w:spacing w:beforeLines="0" w:afterLines="0" w:line="360" w:lineRule="auto"/>
        <w:ind w:firstLine="480" w:firstLineChars="200"/>
        <w:rPr>
          <w:rFonts w:hint="eastAsia" w:ascii="仿宋" w:hAnsi="仿宋" w:eastAsia="仿宋" w:cs="仿宋"/>
          <w:bCs/>
          <w:sz w:val="24"/>
        </w:rPr>
      </w:pPr>
      <w:r>
        <w:rPr>
          <w:rFonts w:hint="eastAsia" w:ascii="仿宋" w:hAnsi="仿宋" w:eastAsia="仿宋" w:cs="仿宋"/>
          <w:kern w:val="0"/>
          <w:sz w:val="24"/>
        </w:rPr>
        <w:t>3、</w:t>
      </w:r>
      <w:r>
        <w:rPr>
          <w:rFonts w:hint="eastAsia" w:ascii="仿宋" w:hAnsi="仿宋" w:eastAsia="仿宋" w:cs="仿宋"/>
          <w:kern w:val="0"/>
          <w:sz w:val="24"/>
          <w:lang w:eastAsia="zh-CN"/>
        </w:rPr>
        <w:t>报价单位</w:t>
      </w:r>
      <w:r>
        <w:rPr>
          <w:rFonts w:hint="eastAsia" w:ascii="仿宋" w:hAnsi="仿宋" w:eastAsia="仿宋" w:cs="仿宋"/>
          <w:kern w:val="0"/>
          <w:sz w:val="24"/>
        </w:rPr>
        <w:t>在履行合同过程中不得因机器设备发生故障、不足或人员原因（请假、辞职）等情况，影响工作正常运作。</w:t>
      </w:r>
    </w:p>
    <w:p>
      <w:pPr>
        <w:spacing w:beforeLines="0" w:afterLines="0" w:line="360" w:lineRule="auto"/>
        <w:ind w:firstLine="480" w:firstLineChars="200"/>
        <w:rPr>
          <w:rFonts w:hint="eastAsia" w:ascii="仿宋" w:hAnsi="仿宋" w:eastAsia="仿宋" w:cs="仿宋"/>
          <w:sz w:val="24"/>
          <w:szCs w:val="28"/>
        </w:rPr>
      </w:pPr>
      <w:r>
        <w:rPr>
          <w:rFonts w:hint="eastAsia" w:ascii="仿宋" w:hAnsi="仿宋" w:eastAsia="仿宋" w:cs="仿宋"/>
          <w:bCs/>
          <w:sz w:val="24"/>
        </w:rPr>
        <w:t>4、</w:t>
      </w:r>
      <w:r>
        <w:rPr>
          <w:rFonts w:hint="eastAsia" w:ascii="仿宋" w:hAnsi="仿宋" w:eastAsia="仿宋" w:cs="仿宋"/>
          <w:sz w:val="24"/>
        </w:rPr>
        <w:t>所约定的</w:t>
      </w:r>
      <w:r>
        <w:rPr>
          <w:rFonts w:hint="eastAsia" w:ascii="仿宋" w:hAnsi="仿宋" w:eastAsia="仿宋" w:cs="仿宋"/>
          <w:sz w:val="24"/>
          <w:lang w:val="en-US" w:eastAsia="zh-CN"/>
        </w:rPr>
        <w:t>项目</w:t>
      </w:r>
      <w:r>
        <w:rPr>
          <w:rFonts w:hint="eastAsia" w:ascii="仿宋" w:hAnsi="仿宋" w:eastAsia="仿宋" w:cs="仿宋"/>
          <w:sz w:val="24"/>
        </w:rPr>
        <w:t>内容</w:t>
      </w:r>
      <w:r>
        <w:rPr>
          <w:rFonts w:hint="eastAsia" w:ascii="仿宋" w:hAnsi="仿宋" w:eastAsia="仿宋" w:cs="仿宋"/>
          <w:kern w:val="0"/>
          <w:sz w:val="24"/>
          <w:lang w:eastAsia="zh-CN"/>
        </w:rPr>
        <w:t>报价单位</w:t>
      </w:r>
      <w:r>
        <w:rPr>
          <w:rFonts w:hint="eastAsia" w:ascii="仿宋" w:hAnsi="仿宋" w:eastAsia="仿宋" w:cs="仿宋"/>
          <w:sz w:val="24"/>
        </w:rPr>
        <w:t>不得分包和转包。</w:t>
      </w:r>
      <w:r>
        <w:rPr>
          <w:rFonts w:hint="eastAsia" w:ascii="仿宋" w:hAnsi="仿宋" w:eastAsia="仿宋" w:cs="仿宋"/>
          <w:sz w:val="24"/>
          <w:szCs w:val="28"/>
        </w:rPr>
        <w:t xml:space="preserve">    </w:t>
      </w:r>
    </w:p>
    <w:p>
      <w:pPr>
        <w:spacing w:beforeLines="0" w:afterLines="0" w:line="360" w:lineRule="auto"/>
        <w:ind w:firstLine="418" w:firstLineChars="156"/>
        <w:rPr>
          <w:rFonts w:hint="eastAsia" w:ascii="仿宋" w:hAnsi="仿宋" w:eastAsia="仿宋" w:cs="仿宋"/>
        </w:rPr>
      </w:pPr>
      <w:r>
        <w:rPr>
          <w:rFonts w:hint="eastAsia" w:ascii="仿宋_GB2312" w:hAnsi="仿宋_GB2312" w:eastAsia="仿宋_GB2312" w:cs="仿宋_GB2312"/>
          <w:color w:val="auto"/>
          <w:spacing w:val="-6"/>
          <w:kern w:val="0"/>
          <w:sz w:val="28"/>
          <w:szCs w:val="28"/>
          <w:highlight w:val="none"/>
          <w:lang w:val="en-US" w:eastAsia="zh-CN"/>
        </w:rPr>
        <w:t>5、</w:t>
      </w:r>
      <w:r>
        <w:rPr>
          <w:rFonts w:hint="eastAsia" w:ascii="仿宋" w:hAnsi="仿宋" w:eastAsia="仿宋" w:cs="仿宋"/>
          <w:kern w:val="0"/>
          <w:sz w:val="24"/>
          <w:lang w:eastAsia="zh-CN"/>
        </w:rPr>
        <w:t xml:space="preserve">其余未尽事宜，以合同约定为准。     </w:t>
      </w:r>
      <w:r>
        <w:rPr>
          <w:rFonts w:hint="eastAsia" w:ascii="仿宋" w:hAnsi="仿宋" w:eastAsia="仿宋" w:cs="仿宋"/>
          <w:sz w:val="24"/>
          <w:szCs w:val="28"/>
        </w:rPr>
        <w:t xml:space="preserve">                                  </w:t>
      </w:r>
    </w:p>
    <w:p>
      <w:pPr>
        <w:spacing w:beforeLines="0" w:afterLines="0" w:line="360" w:lineRule="auto"/>
        <w:rPr>
          <w:rFonts w:hint="eastAsia" w:ascii="仿宋" w:hAnsi="仿宋" w:eastAsia="仿宋" w:cs="仿宋"/>
          <w:b/>
          <w:bCs/>
          <w:sz w:val="20"/>
          <w:szCs w:val="21"/>
        </w:rPr>
      </w:pPr>
    </w:p>
    <w:p>
      <w:pPr>
        <w:spacing w:beforeLines="0" w:afterLines="0" w:line="360" w:lineRule="auto"/>
        <w:rPr>
          <w:rFonts w:hint="eastAsia" w:ascii="仿宋" w:hAnsi="仿宋" w:eastAsia="仿宋" w:cs="仿宋"/>
          <w:b/>
          <w:bCs/>
          <w:sz w:val="22"/>
          <w:szCs w:val="22"/>
        </w:rPr>
      </w:pPr>
      <w:r>
        <w:rPr>
          <w:rFonts w:hint="eastAsia" w:ascii="仿宋" w:hAnsi="仿宋" w:eastAsia="仿宋" w:cs="仿宋"/>
          <w:b/>
          <w:bCs/>
          <w:sz w:val="22"/>
          <w:szCs w:val="22"/>
        </w:rPr>
        <w:t>注：</w:t>
      </w:r>
    </w:p>
    <w:p>
      <w:pPr>
        <w:spacing w:beforeLines="0" w:afterLines="0" w:line="360" w:lineRule="auto"/>
        <w:rPr>
          <w:rFonts w:hint="eastAsia" w:ascii="仿宋" w:hAnsi="仿宋" w:eastAsia="仿宋" w:cs="仿宋"/>
          <w:b/>
          <w:bCs/>
          <w:sz w:val="22"/>
          <w:szCs w:val="22"/>
        </w:rPr>
      </w:pPr>
      <w:r>
        <w:rPr>
          <w:rFonts w:hint="eastAsia" w:ascii="仿宋" w:hAnsi="仿宋" w:eastAsia="仿宋" w:cs="仿宋"/>
          <w:b/>
          <w:bCs/>
          <w:sz w:val="22"/>
          <w:szCs w:val="22"/>
        </w:rPr>
        <w:t>1、本报价须包含完成本项目的应预见和不可预见的费用、相关税费、规费以及企业利润等，请各报价单位根据实际情况报价。</w:t>
      </w:r>
    </w:p>
    <w:p>
      <w:pPr>
        <w:spacing w:beforeLines="0" w:afterLines="0" w:line="360" w:lineRule="auto"/>
        <w:rPr>
          <w:rFonts w:hint="eastAsia" w:ascii="仿宋" w:hAnsi="仿宋" w:eastAsia="仿宋" w:cs="仿宋"/>
          <w:b/>
          <w:bCs/>
          <w:color w:val="auto"/>
          <w:sz w:val="22"/>
          <w:szCs w:val="22"/>
          <w:lang w:val="en-US" w:eastAsia="zh-CN"/>
        </w:rPr>
      </w:pPr>
      <w:r>
        <w:rPr>
          <w:rFonts w:hint="eastAsia" w:ascii="仿宋" w:hAnsi="仿宋" w:eastAsia="仿宋" w:cs="仿宋"/>
          <w:b/>
          <w:bCs/>
          <w:color w:val="auto"/>
          <w:sz w:val="22"/>
        </w:rPr>
        <w:t>2、报价单位需提供合法有效的增值税专用发票（报价单位请按实填报）。</w:t>
      </w:r>
    </w:p>
    <w:p>
      <w:pPr>
        <w:spacing w:beforeLines="0" w:afterLines="0" w:line="360" w:lineRule="auto"/>
        <w:rPr>
          <w:rFonts w:hint="eastAsia" w:ascii="仿宋" w:hAnsi="仿宋" w:eastAsia="仿宋" w:cs="仿宋"/>
          <w:b/>
          <w:bCs/>
          <w:color w:val="auto"/>
          <w:sz w:val="22"/>
          <w:szCs w:val="22"/>
        </w:rPr>
      </w:pPr>
      <w:r>
        <w:rPr>
          <w:rFonts w:hint="eastAsia" w:ascii="仿宋" w:hAnsi="仿宋" w:eastAsia="仿宋" w:cs="仿宋"/>
          <w:b/>
          <w:bCs/>
          <w:color w:val="auto"/>
          <w:sz w:val="22"/>
          <w:szCs w:val="22"/>
          <w:lang w:val="en-US" w:eastAsia="zh-CN"/>
        </w:rPr>
        <w:t>3</w:t>
      </w:r>
      <w:r>
        <w:rPr>
          <w:rFonts w:hint="eastAsia" w:ascii="仿宋" w:hAnsi="仿宋" w:eastAsia="仿宋" w:cs="仿宋"/>
          <w:b/>
          <w:bCs/>
          <w:color w:val="auto"/>
          <w:sz w:val="22"/>
          <w:szCs w:val="22"/>
        </w:rPr>
        <w:t>、</w:t>
      </w:r>
      <w:r>
        <w:rPr>
          <w:rFonts w:hint="eastAsia" w:ascii="仿宋" w:hAnsi="仿宋" w:eastAsia="仿宋" w:cs="仿宋"/>
          <w:b/>
          <w:bCs/>
          <w:color w:val="auto"/>
          <w:sz w:val="22"/>
          <w:szCs w:val="22"/>
          <w:lang w:val="en-US" w:eastAsia="zh-CN"/>
        </w:rPr>
        <w:t>项目服务</w:t>
      </w:r>
      <w:r>
        <w:rPr>
          <w:rFonts w:hint="eastAsia" w:ascii="仿宋" w:hAnsi="仿宋" w:eastAsia="仿宋" w:cs="仿宋"/>
          <w:b/>
          <w:bCs/>
          <w:color w:val="auto"/>
          <w:sz w:val="22"/>
          <w:szCs w:val="22"/>
        </w:rPr>
        <w:t>时间：</w:t>
      </w:r>
      <w:r>
        <w:rPr>
          <w:rFonts w:hint="eastAsia" w:ascii="仿宋" w:hAnsi="仿宋" w:eastAsia="仿宋" w:cs="仿宋"/>
          <w:b/>
          <w:bCs/>
          <w:color w:val="auto"/>
          <w:sz w:val="22"/>
        </w:rPr>
        <w:t>自广东电力交易中心有限公司对备案合同确认生效之日起至202</w:t>
      </w:r>
      <w:r>
        <w:rPr>
          <w:rFonts w:hint="eastAsia" w:ascii="仿宋" w:hAnsi="仿宋" w:eastAsia="仿宋" w:cs="仿宋"/>
          <w:b/>
          <w:bCs/>
          <w:color w:val="auto"/>
          <w:sz w:val="22"/>
          <w:lang w:val="en-US" w:eastAsia="zh-CN"/>
        </w:rPr>
        <w:t>5</w:t>
      </w:r>
      <w:r>
        <w:rPr>
          <w:rFonts w:hint="eastAsia" w:ascii="仿宋" w:hAnsi="仿宋" w:eastAsia="仿宋" w:cs="仿宋"/>
          <w:b/>
          <w:bCs/>
          <w:color w:val="auto"/>
          <w:sz w:val="22"/>
        </w:rPr>
        <w:t>年12月31日</w:t>
      </w:r>
      <w:r>
        <w:rPr>
          <w:rFonts w:hint="eastAsia" w:ascii="仿宋" w:hAnsi="仿宋" w:eastAsia="仿宋" w:cs="仿宋"/>
          <w:b/>
          <w:bCs/>
          <w:color w:val="auto"/>
          <w:sz w:val="22"/>
          <w:lang w:eastAsia="zh-CN"/>
        </w:rPr>
        <w:t>止</w:t>
      </w:r>
      <w:r>
        <w:rPr>
          <w:rFonts w:hint="eastAsia" w:ascii="仿宋" w:hAnsi="仿宋" w:eastAsia="仿宋" w:cs="仿宋"/>
          <w:b/>
          <w:bCs/>
          <w:color w:val="auto"/>
          <w:sz w:val="22"/>
          <w:szCs w:val="22"/>
        </w:rPr>
        <w:t>。</w:t>
      </w:r>
    </w:p>
    <w:p>
      <w:pPr>
        <w:spacing w:beforeLines="0" w:afterLines="0" w:line="360" w:lineRule="auto"/>
        <w:rPr>
          <w:rFonts w:hint="eastAsia" w:ascii="仿宋" w:hAnsi="仿宋" w:eastAsia="仿宋" w:cs="仿宋"/>
          <w:b/>
          <w:bCs/>
          <w:sz w:val="22"/>
          <w:szCs w:val="22"/>
        </w:rPr>
      </w:pPr>
      <w:r>
        <w:rPr>
          <w:rFonts w:hint="eastAsia" w:ascii="仿宋" w:hAnsi="仿宋" w:eastAsia="仿宋" w:cs="仿宋"/>
          <w:b/>
          <w:bCs/>
          <w:sz w:val="22"/>
          <w:szCs w:val="22"/>
          <w:lang w:val="en-US" w:eastAsia="zh-CN"/>
        </w:rPr>
        <w:t>4</w:t>
      </w:r>
      <w:r>
        <w:rPr>
          <w:rFonts w:hint="eastAsia" w:ascii="仿宋" w:hAnsi="仿宋" w:eastAsia="仿宋" w:cs="仿宋"/>
          <w:b/>
          <w:bCs/>
          <w:sz w:val="22"/>
          <w:szCs w:val="22"/>
        </w:rPr>
        <w:t>、承包方式：</w:t>
      </w:r>
      <w:r>
        <w:rPr>
          <w:rFonts w:hint="eastAsia" w:ascii="仿宋" w:hAnsi="仿宋" w:eastAsia="仿宋" w:cs="仿宋"/>
          <w:b/>
          <w:bCs/>
          <w:color w:val="auto"/>
          <w:sz w:val="22"/>
          <w:szCs w:val="22"/>
          <w:lang w:val="en-US" w:eastAsia="zh-CN"/>
        </w:rPr>
        <w:t>单价承包，</w:t>
      </w:r>
      <w:r>
        <w:rPr>
          <w:rFonts w:hint="eastAsia" w:ascii="仿宋" w:hAnsi="仿宋" w:eastAsia="仿宋" w:cs="仿宋"/>
          <w:b/>
          <w:bCs/>
          <w:color w:val="auto"/>
          <w:sz w:val="22"/>
        </w:rPr>
        <w:t>按实结算方式</w:t>
      </w:r>
      <w:r>
        <w:rPr>
          <w:rFonts w:hint="eastAsia" w:ascii="仿宋" w:hAnsi="仿宋" w:eastAsia="仿宋" w:cs="仿宋"/>
          <w:b/>
          <w:bCs/>
          <w:color w:val="auto"/>
          <w:sz w:val="22"/>
          <w:szCs w:val="22"/>
        </w:rPr>
        <w:t>。</w:t>
      </w:r>
    </w:p>
    <w:p>
      <w:pPr>
        <w:spacing w:beforeLines="0" w:afterLines="0" w:line="360" w:lineRule="auto"/>
        <w:rPr>
          <w:rFonts w:hint="eastAsia" w:ascii="仿宋" w:hAnsi="仿宋" w:eastAsia="仿宋" w:cs="仿宋"/>
          <w:b/>
          <w:bCs/>
          <w:sz w:val="22"/>
          <w:szCs w:val="22"/>
        </w:rPr>
      </w:pPr>
      <w:r>
        <w:rPr>
          <w:rFonts w:hint="eastAsia" w:ascii="仿宋" w:hAnsi="仿宋" w:eastAsia="仿宋" w:cs="仿宋"/>
          <w:b/>
          <w:bCs/>
          <w:sz w:val="22"/>
          <w:szCs w:val="22"/>
          <w:lang w:val="en-US" w:eastAsia="zh-CN"/>
        </w:rPr>
        <w:t>5</w:t>
      </w:r>
      <w:r>
        <w:rPr>
          <w:rFonts w:hint="eastAsia" w:ascii="仿宋" w:hAnsi="仿宋" w:eastAsia="仿宋" w:cs="仿宋"/>
          <w:b/>
          <w:bCs/>
          <w:sz w:val="22"/>
          <w:szCs w:val="22"/>
        </w:rPr>
        <w:t>、支付方式：以合同约定为准。</w:t>
      </w:r>
    </w:p>
    <w:p>
      <w:pPr>
        <w:spacing w:line="360" w:lineRule="auto"/>
        <w:rPr>
          <w:rFonts w:hint="eastAsia" w:ascii="仿宋" w:hAnsi="仿宋" w:eastAsia="仿宋" w:cs="仿宋"/>
          <w:b/>
          <w:bCs/>
          <w:sz w:val="22"/>
        </w:rPr>
      </w:pPr>
      <w:r>
        <w:rPr>
          <w:rFonts w:hint="eastAsia" w:ascii="仿宋" w:hAnsi="仿宋" w:eastAsia="仿宋" w:cs="仿宋"/>
          <w:b/>
          <w:bCs/>
          <w:sz w:val="22"/>
        </w:rPr>
        <w:t>6、报价时须附上以下资料：</w:t>
      </w:r>
    </w:p>
    <w:p>
      <w:pPr>
        <w:spacing w:line="360" w:lineRule="auto"/>
        <w:rPr>
          <w:rFonts w:hint="eastAsia" w:ascii="仿宋" w:hAnsi="仿宋" w:eastAsia="仿宋" w:cs="仿宋"/>
          <w:b/>
          <w:bCs/>
          <w:sz w:val="22"/>
        </w:rPr>
      </w:pPr>
      <w:r>
        <w:rPr>
          <w:rFonts w:hint="eastAsia" w:ascii="仿宋" w:hAnsi="仿宋" w:eastAsia="仿宋" w:cs="仿宋"/>
          <w:b/>
          <w:bCs/>
          <w:sz w:val="22"/>
        </w:rPr>
        <w:t>（1）报价单（加盖公章）；</w:t>
      </w:r>
    </w:p>
    <w:p>
      <w:pPr>
        <w:spacing w:line="360" w:lineRule="auto"/>
        <w:rPr>
          <w:rFonts w:hint="eastAsia" w:ascii="仿宋" w:hAnsi="仿宋" w:eastAsia="仿宋" w:cs="仿宋"/>
          <w:b/>
          <w:bCs/>
          <w:sz w:val="22"/>
        </w:rPr>
      </w:pPr>
      <w:r>
        <w:rPr>
          <w:rFonts w:hint="eastAsia" w:ascii="仿宋" w:hAnsi="仿宋" w:eastAsia="仿宋" w:cs="仿宋"/>
          <w:b/>
          <w:bCs/>
          <w:sz w:val="22"/>
        </w:rPr>
        <w:t>（2）有效的营业执照（复印件加盖公章）；</w:t>
      </w:r>
    </w:p>
    <w:p>
      <w:pPr>
        <w:spacing w:line="360" w:lineRule="auto"/>
        <w:rPr>
          <w:rFonts w:hint="eastAsia" w:ascii="仿宋" w:hAnsi="仿宋" w:eastAsia="仿宋" w:cs="仿宋"/>
          <w:b/>
          <w:bCs/>
          <w:sz w:val="22"/>
        </w:rPr>
      </w:pPr>
      <w:r>
        <w:rPr>
          <w:rFonts w:hint="eastAsia" w:ascii="仿宋" w:hAnsi="仿宋" w:eastAsia="仿宋" w:cs="仿宋"/>
          <w:b/>
          <w:bCs/>
          <w:sz w:val="22"/>
        </w:rPr>
        <w:t>（3）</w:t>
      </w:r>
      <w:r>
        <w:rPr>
          <w:rFonts w:hint="eastAsia" w:ascii="仿宋" w:hAnsi="仿宋" w:eastAsia="仿宋" w:cs="仿宋"/>
          <w:b/>
          <w:bCs/>
          <w:sz w:val="22"/>
          <w:lang w:eastAsia="zh-CN"/>
        </w:rPr>
        <w:t>提供至少一项近三年</w:t>
      </w:r>
      <w:r>
        <w:rPr>
          <w:rFonts w:hint="eastAsia" w:ascii="仿宋" w:hAnsi="仿宋" w:eastAsia="仿宋" w:cs="仿宋"/>
          <w:b/>
          <w:bCs/>
          <w:sz w:val="22"/>
        </w:rPr>
        <w:t>（202</w:t>
      </w:r>
      <w:r>
        <w:rPr>
          <w:rFonts w:hint="eastAsia" w:ascii="仿宋" w:hAnsi="仿宋" w:eastAsia="仿宋" w:cs="仿宋"/>
          <w:b/>
          <w:bCs/>
          <w:sz w:val="22"/>
          <w:lang w:val="en-US" w:eastAsia="zh-CN"/>
        </w:rPr>
        <w:t>2</w:t>
      </w:r>
      <w:r>
        <w:rPr>
          <w:rFonts w:hint="eastAsia" w:ascii="仿宋" w:hAnsi="仿宋" w:eastAsia="仿宋" w:cs="仿宋"/>
          <w:b/>
          <w:bCs/>
          <w:sz w:val="22"/>
        </w:rPr>
        <w:t>年1月1日至报价文件递交截止时间止，以合同服务时间为准）</w:t>
      </w:r>
      <w:r>
        <w:rPr>
          <w:rFonts w:hint="eastAsia" w:ascii="仿宋" w:hAnsi="仿宋" w:eastAsia="仿宋" w:cs="仿宋"/>
          <w:b/>
          <w:bCs/>
          <w:sz w:val="22"/>
          <w:lang w:eastAsia="zh-CN"/>
        </w:rPr>
        <w:t>售电相关业绩证明文件</w:t>
      </w:r>
      <w:r>
        <w:rPr>
          <w:rFonts w:hint="eastAsia" w:ascii="仿宋" w:hAnsi="仿宋" w:eastAsia="仿宋" w:cs="仿宋"/>
          <w:b/>
          <w:bCs/>
          <w:sz w:val="22"/>
        </w:rPr>
        <w:t>【注：须提供业绩合同关键页复印件，合同关键页复印件须体现其合同双方当事人名称、合同服务时间以及业绩内容。如前述证明材料不能清晰反映有关特征和必要信息的，还须提供该项业绩的业主证明材料（业主加盖公章，并须体现上述有关特征和必要信息）并须附上业主方的联系人及联系电话。】</w:t>
      </w:r>
      <w:r>
        <w:rPr>
          <w:rFonts w:hint="eastAsia" w:ascii="仿宋" w:hAnsi="仿宋" w:eastAsia="仿宋" w:cs="仿宋"/>
          <w:b/>
          <w:bCs/>
          <w:sz w:val="22"/>
          <w:lang w:eastAsia="zh-CN"/>
        </w:rPr>
        <w:t>；</w:t>
      </w:r>
    </w:p>
    <w:p>
      <w:pPr>
        <w:pStyle w:val="8"/>
        <w:ind w:firstLine="0" w:firstLineChars="0"/>
        <w:rPr>
          <w:rFonts w:hint="eastAsia" w:eastAsia="仿宋"/>
          <w:sz w:val="22"/>
          <w:szCs w:val="22"/>
          <w:lang w:eastAsia="zh-CN"/>
        </w:rPr>
      </w:pPr>
      <w:r>
        <w:rPr>
          <w:rFonts w:hint="eastAsia" w:ascii="仿宋" w:hAnsi="仿宋" w:eastAsia="仿宋" w:cs="仿宋"/>
          <w:b/>
          <w:bCs/>
          <w:sz w:val="22"/>
          <w:szCs w:val="22"/>
          <w:lang w:eastAsia="zh-CN"/>
        </w:rPr>
        <w:t>（</w:t>
      </w:r>
      <w:r>
        <w:rPr>
          <w:rFonts w:hint="eastAsia" w:ascii="仿宋" w:hAnsi="仿宋" w:eastAsia="仿宋" w:cs="仿宋"/>
          <w:b/>
          <w:bCs/>
          <w:sz w:val="22"/>
          <w:szCs w:val="22"/>
          <w:lang w:val="en-US" w:eastAsia="zh-CN"/>
        </w:rPr>
        <w:t>4</w:t>
      </w:r>
      <w:r>
        <w:rPr>
          <w:rFonts w:hint="eastAsia" w:ascii="仿宋" w:hAnsi="仿宋" w:eastAsia="仿宋" w:cs="仿宋"/>
          <w:b/>
          <w:bCs/>
          <w:sz w:val="22"/>
          <w:szCs w:val="22"/>
          <w:lang w:eastAsia="zh-CN"/>
        </w:rPr>
        <w:t>）</w:t>
      </w:r>
      <w:r>
        <w:rPr>
          <w:rFonts w:hint="eastAsia" w:ascii="仿宋" w:hAnsi="仿宋" w:eastAsia="仿宋" w:cs="仿宋"/>
          <w:b/>
          <w:bCs/>
          <w:sz w:val="22"/>
          <w:szCs w:val="22"/>
          <w:highlight w:val="none"/>
        </w:rPr>
        <w:t>广东电力市场202</w:t>
      </w:r>
      <w:r>
        <w:rPr>
          <w:rFonts w:hint="eastAsia" w:ascii="仿宋" w:hAnsi="仿宋" w:eastAsia="仿宋" w:cs="仿宋"/>
          <w:b/>
          <w:bCs/>
          <w:sz w:val="22"/>
          <w:szCs w:val="22"/>
          <w:highlight w:val="none"/>
          <w:lang w:val="en-US" w:eastAsia="zh-CN"/>
        </w:rPr>
        <w:t>4</w:t>
      </w:r>
      <w:r>
        <w:rPr>
          <w:rFonts w:hint="eastAsia" w:ascii="仿宋" w:hAnsi="仿宋" w:eastAsia="仿宋" w:cs="仿宋"/>
          <w:b/>
          <w:bCs/>
          <w:sz w:val="22"/>
          <w:szCs w:val="22"/>
          <w:highlight w:val="none"/>
        </w:rPr>
        <w:t>年信用评价结果3A级</w:t>
      </w:r>
      <w:r>
        <w:rPr>
          <w:rFonts w:hint="eastAsia" w:ascii="仿宋" w:hAnsi="仿宋" w:eastAsia="仿宋" w:cs="仿宋"/>
          <w:b/>
          <w:bCs/>
          <w:sz w:val="22"/>
          <w:szCs w:val="22"/>
          <w:highlight w:val="none"/>
          <w:lang w:eastAsia="zh-CN"/>
        </w:rPr>
        <w:t>或以上</w:t>
      </w:r>
      <w:r>
        <w:rPr>
          <w:rFonts w:hint="eastAsia" w:ascii="仿宋" w:hAnsi="仿宋" w:eastAsia="仿宋" w:cs="仿宋"/>
          <w:b/>
          <w:bCs/>
          <w:sz w:val="22"/>
          <w:szCs w:val="22"/>
          <w:highlight w:val="none"/>
        </w:rPr>
        <w:t>文件（复印件加盖公章）</w:t>
      </w:r>
      <w:r>
        <w:rPr>
          <w:rFonts w:hint="eastAsia" w:ascii="仿宋" w:hAnsi="仿宋" w:eastAsia="仿宋" w:cs="仿宋"/>
          <w:b/>
          <w:bCs/>
          <w:sz w:val="22"/>
          <w:szCs w:val="22"/>
          <w:lang w:eastAsia="zh-CN"/>
        </w:rPr>
        <w:t>；</w:t>
      </w:r>
    </w:p>
    <w:p>
      <w:pPr>
        <w:spacing w:line="360" w:lineRule="auto"/>
        <w:rPr>
          <w:rFonts w:hint="eastAsia" w:ascii="仿宋" w:hAnsi="仿宋" w:eastAsia="仿宋" w:cs="仿宋"/>
          <w:b/>
          <w:bCs/>
          <w:sz w:val="22"/>
        </w:rPr>
      </w:pPr>
      <w:r>
        <w:rPr>
          <w:rFonts w:hint="eastAsia" w:ascii="仿宋" w:hAnsi="仿宋" w:eastAsia="仿宋" w:cs="仿宋"/>
          <w:b/>
          <w:bCs/>
          <w:sz w:val="22"/>
        </w:rPr>
        <w:t>（</w:t>
      </w:r>
      <w:r>
        <w:rPr>
          <w:rFonts w:hint="eastAsia" w:ascii="仿宋" w:hAnsi="仿宋" w:eastAsia="仿宋" w:cs="仿宋"/>
          <w:b/>
          <w:bCs/>
          <w:sz w:val="22"/>
          <w:lang w:val="en-US" w:eastAsia="zh-CN"/>
        </w:rPr>
        <w:t>5</w:t>
      </w:r>
      <w:r>
        <w:rPr>
          <w:rFonts w:hint="eastAsia" w:ascii="仿宋" w:hAnsi="仿宋" w:eastAsia="仿宋" w:cs="仿宋"/>
          <w:b/>
          <w:bCs/>
          <w:sz w:val="22"/>
        </w:rPr>
        <w:t>）其他：报价单位认为需要补充的资料（加盖公章）。</w:t>
      </w:r>
    </w:p>
    <w:p>
      <w:pPr>
        <w:snapToGrid w:val="0"/>
        <w:spacing w:beforeLines="0" w:afterLines="0" w:line="360" w:lineRule="auto"/>
        <w:rPr>
          <w:rFonts w:hint="eastAsia" w:ascii="仿宋" w:hAnsi="仿宋" w:eastAsia="仿宋" w:cs="仿宋"/>
          <w:b/>
          <w:bCs/>
          <w:sz w:val="22"/>
        </w:rPr>
      </w:pPr>
      <w:r>
        <w:rPr>
          <w:rFonts w:hint="eastAsia" w:ascii="仿宋" w:hAnsi="仿宋" w:eastAsia="仿宋" w:cs="仿宋"/>
          <w:b/>
          <w:bCs/>
          <w:sz w:val="22"/>
        </w:rPr>
        <w:t>注：缺少以上（1）-（</w:t>
      </w:r>
      <w:r>
        <w:rPr>
          <w:rFonts w:hint="eastAsia" w:ascii="仿宋" w:hAnsi="仿宋" w:eastAsia="仿宋" w:cs="仿宋"/>
          <w:b/>
          <w:bCs/>
          <w:sz w:val="22"/>
          <w:lang w:val="en-US" w:eastAsia="zh-CN"/>
        </w:rPr>
        <w:t>4</w:t>
      </w:r>
      <w:r>
        <w:rPr>
          <w:rFonts w:hint="eastAsia" w:ascii="仿宋" w:hAnsi="仿宋" w:eastAsia="仿宋" w:cs="仿宋"/>
          <w:b/>
          <w:bCs/>
          <w:sz w:val="22"/>
        </w:rPr>
        <w:t>）项文件按无效报价处理，文件必须真实有效且加盖公章。</w:t>
      </w:r>
    </w:p>
    <w:p>
      <w:pPr>
        <w:snapToGrid w:val="0"/>
        <w:spacing w:beforeLines="0" w:afterLines="0" w:line="360" w:lineRule="auto"/>
        <w:rPr>
          <w:rFonts w:hint="eastAsia" w:ascii="仿宋" w:hAnsi="仿宋" w:eastAsia="仿宋" w:cs="仿宋"/>
          <w:b/>
          <w:bCs/>
          <w:sz w:val="22"/>
        </w:rPr>
      </w:pPr>
      <w:r>
        <w:rPr>
          <w:rFonts w:hint="eastAsia" w:ascii="仿宋" w:hAnsi="仿宋" w:eastAsia="仿宋" w:cs="仿宋"/>
          <w:b/>
          <w:bCs/>
          <w:sz w:val="22"/>
        </w:rPr>
        <w:t>7、若中选单位放弃中选资格，或拒绝与采购方签订合同，或自采购方通知签订合同之日起7日内中选单位未签订合同的，采购方可以取消该中选单位的中选资格，并按照开标记录表不含税总报价排序确定下一为中选单位，或重新开展询价活动。</w:t>
      </w:r>
    </w:p>
    <w:p>
      <w:pPr>
        <w:pStyle w:val="8"/>
        <w:snapToGrid w:val="0"/>
        <w:spacing w:beforeLines="0" w:after="0" w:afterLines="0" w:line="360" w:lineRule="auto"/>
        <w:ind w:firstLine="0" w:firstLineChars="0"/>
        <w:rPr>
          <w:rFonts w:hint="eastAsia" w:ascii="仿宋" w:hAnsi="仿宋" w:eastAsia="仿宋" w:cs="仿宋"/>
          <w:b/>
          <w:bCs/>
          <w:kern w:val="2"/>
          <w:sz w:val="22"/>
          <w:szCs w:val="22"/>
          <w:lang w:val="en-US" w:eastAsia="zh-CN" w:bidi="ar-SA"/>
        </w:rPr>
      </w:pPr>
      <w:r>
        <w:rPr>
          <w:rFonts w:hint="eastAsia" w:ascii="仿宋" w:hAnsi="仿宋" w:eastAsia="仿宋" w:cs="仿宋"/>
          <w:b/>
          <w:bCs/>
          <w:sz w:val="22"/>
        </w:rPr>
        <w:t>8、</w:t>
      </w:r>
      <w:r>
        <w:rPr>
          <w:rFonts w:hint="eastAsia" w:ascii="仿宋" w:hAnsi="仿宋" w:eastAsia="仿宋" w:cs="仿宋"/>
          <w:b/>
          <w:bCs/>
          <w:kern w:val="2"/>
          <w:sz w:val="22"/>
          <w:szCs w:val="22"/>
          <w:lang w:val="en-US" w:eastAsia="zh-CN" w:bidi="ar-SA"/>
        </w:rPr>
        <w:t>采购人在确定中选单位后向中选单位发出成交确认通知书，并与中选单位在“广东电力交易中心”平台签订交易合同，中选单位应按照采购人及“广东电力交易中心”平台相关要求与采购人办理合同签订手续。</w:t>
      </w:r>
    </w:p>
    <w:p>
      <w:pPr>
        <w:pStyle w:val="8"/>
        <w:snapToGrid w:val="0"/>
        <w:spacing w:beforeLines="0" w:after="0" w:afterLines="0" w:line="360" w:lineRule="auto"/>
        <w:ind w:firstLine="0" w:firstLineChars="0"/>
        <w:rPr>
          <w:rFonts w:hint="eastAsia" w:ascii="仿宋" w:hAnsi="仿宋" w:eastAsia="仿宋" w:cs="仿宋"/>
          <w:b/>
          <w:bCs/>
          <w:sz w:val="22"/>
          <w:szCs w:val="22"/>
        </w:rPr>
      </w:pPr>
      <w:r>
        <w:rPr>
          <w:rFonts w:hint="eastAsia" w:ascii="仿宋" w:hAnsi="仿宋" w:eastAsia="仿宋" w:cs="仿宋"/>
          <w:b/>
          <w:bCs/>
          <w:sz w:val="22"/>
          <w:szCs w:val="22"/>
          <w:lang w:val="en-US" w:eastAsia="zh-CN"/>
        </w:rPr>
        <w:t>9、</w:t>
      </w:r>
      <w:r>
        <w:rPr>
          <w:rFonts w:hint="eastAsia" w:ascii="仿宋" w:hAnsi="仿宋" w:eastAsia="仿宋" w:cs="仿宋"/>
          <w:b/>
          <w:bCs/>
          <w:sz w:val="22"/>
          <w:szCs w:val="22"/>
          <w:lang w:eastAsia="zh-CN"/>
        </w:rPr>
        <w:t>报价</w:t>
      </w:r>
      <w:r>
        <w:rPr>
          <w:rFonts w:hint="eastAsia" w:ascii="仿宋" w:hAnsi="仿宋" w:eastAsia="仿宋" w:cs="仿宋"/>
          <w:b/>
          <w:bCs/>
          <w:sz w:val="22"/>
          <w:szCs w:val="22"/>
        </w:rPr>
        <w:t>文件</w:t>
      </w:r>
      <w:r>
        <w:rPr>
          <w:rFonts w:hint="eastAsia" w:ascii="仿宋" w:hAnsi="仿宋" w:eastAsia="仿宋" w:cs="仿宋"/>
          <w:b/>
          <w:bCs/>
          <w:sz w:val="22"/>
          <w:szCs w:val="22"/>
          <w:lang w:eastAsia="zh-CN"/>
        </w:rPr>
        <w:t>壹</w:t>
      </w:r>
      <w:r>
        <w:rPr>
          <w:rFonts w:hint="eastAsia" w:ascii="仿宋" w:hAnsi="仿宋" w:eastAsia="仿宋" w:cs="仿宋"/>
          <w:b/>
          <w:bCs/>
          <w:sz w:val="22"/>
          <w:szCs w:val="22"/>
        </w:rPr>
        <w:t>式</w:t>
      </w:r>
      <w:r>
        <w:rPr>
          <w:rFonts w:hint="eastAsia" w:ascii="仿宋" w:hAnsi="仿宋" w:eastAsia="仿宋" w:cs="仿宋"/>
          <w:b/>
          <w:bCs/>
          <w:sz w:val="22"/>
          <w:szCs w:val="22"/>
          <w:lang w:eastAsia="zh-CN"/>
        </w:rPr>
        <w:t>贰</w:t>
      </w:r>
      <w:r>
        <w:rPr>
          <w:rFonts w:hint="eastAsia" w:ascii="仿宋" w:hAnsi="仿宋" w:eastAsia="仿宋" w:cs="仿宋"/>
          <w:b/>
          <w:bCs/>
          <w:sz w:val="22"/>
          <w:szCs w:val="22"/>
        </w:rPr>
        <w:t>份（其中正本</w:t>
      </w:r>
      <w:r>
        <w:rPr>
          <w:rFonts w:hint="eastAsia" w:ascii="仿宋" w:hAnsi="仿宋" w:eastAsia="仿宋" w:cs="仿宋"/>
          <w:b/>
          <w:bCs/>
          <w:sz w:val="22"/>
          <w:szCs w:val="22"/>
          <w:lang w:eastAsia="zh-CN"/>
        </w:rPr>
        <w:t>壹</w:t>
      </w:r>
      <w:r>
        <w:rPr>
          <w:rFonts w:hint="eastAsia" w:ascii="仿宋" w:hAnsi="仿宋" w:eastAsia="仿宋" w:cs="仿宋"/>
          <w:b/>
          <w:bCs/>
          <w:sz w:val="22"/>
          <w:szCs w:val="22"/>
        </w:rPr>
        <w:t>份，副本</w:t>
      </w:r>
      <w:r>
        <w:rPr>
          <w:rFonts w:hint="eastAsia" w:ascii="仿宋" w:hAnsi="仿宋" w:eastAsia="仿宋" w:cs="仿宋"/>
          <w:b/>
          <w:bCs/>
          <w:sz w:val="22"/>
          <w:szCs w:val="22"/>
          <w:lang w:eastAsia="zh-CN"/>
        </w:rPr>
        <w:t>壹</w:t>
      </w:r>
      <w:r>
        <w:rPr>
          <w:rFonts w:hint="eastAsia" w:ascii="仿宋" w:hAnsi="仿宋" w:eastAsia="仿宋" w:cs="仿宋"/>
          <w:b/>
          <w:bCs/>
          <w:sz w:val="22"/>
          <w:szCs w:val="22"/>
        </w:rPr>
        <w:t>份</w:t>
      </w:r>
      <w:r>
        <w:rPr>
          <w:rFonts w:hint="eastAsia" w:ascii="仿宋" w:hAnsi="仿宋" w:eastAsia="仿宋" w:cs="仿宋"/>
          <w:b/>
          <w:bCs/>
          <w:sz w:val="22"/>
          <w:szCs w:val="22"/>
          <w:lang w:eastAsia="zh-CN"/>
        </w:rPr>
        <w:t>，均加盖公章；副本可以是正本签字盖章后的复印件，但必须清晰可辨；当副本与正本不一致时以</w:t>
      </w:r>
      <w:r>
        <w:rPr>
          <w:rFonts w:hint="eastAsia" w:ascii="仿宋" w:hAnsi="仿宋" w:eastAsia="仿宋" w:cs="仿宋"/>
          <w:b/>
          <w:bCs/>
          <w:sz w:val="22"/>
          <w:szCs w:val="22"/>
          <w:lang w:val="en-US" w:eastAsia="zh-CN"/>
        </w:rPr>
        <w:t>纸质文件</w:t>
      </w:r>
      <w:r>
        <w:rPr>
          <w:rFonts w:hint="eastAsia" w:ascii="仿宋" w:hAnsi="仿宋" w:eastAsia="仿宋" w:cs="仿宋"/>
          <w:b/>
          <w:bCs/>
          <w:sz w:val="22"/>
          <w:szCs w:val="22"/>
          <w:lang w:eastAsia="zh-CN"/>
        </w:rPr>
        <w:t>正本为准），无论中选与否，上述文件不予退还，逾期</w:t>
      </w:r>
      <w:r>
        <w:rPr>
          <w:rFonts w:hint="eastAsia" w:ascii="仿宋" w:hAnsi="仿宋" w:eastAsia="仿宋" w:cs="仿宋"/>
          <w:b/>
          <w:bCs/>
          <w:sz w:val="22"/>
          <w:szCs w:val="22"/>
        </w:rPr>
        <w:t>送达的文件或不符合要求的文件</w:t>
      </w:r>
      <w:r>
        <w:rPr>
          <w:rFonts w:hint="eastAsia" w:ascii="仿宋" w:hAnsi="仿宋" w:eastAsia="仿宋" w:cs="仿宋"/>
          <w:b/>
          <w:bCs/>
          <w:sz w:val="22"/>
          <w:szCs w:val="22"/>
          <w:lang w:eastAsia="zh-CN"/>
        </w:rPr>
        <w:t>或未按要求密封的文件</w:t>
      </w:r>
      <w:r>
        <w:rPr>
          <w:rFonts w:hint="eastAsia" w:ascii="仿宋" w:hAnsi="仿宋" w:eastAsia="仿宋" w:cs="仿宋"/>
          <w:b/>
          <w:bCs/>
          <w:sz w:val="22"/>
          <w:szCs w:val="22"/>
        </w:rPr>
        <w:t>，招标人有权拒收。</w:t>
      </w:r>
    </w:p>
    <w:p>
      <w:pPr>
        <w:pStyle w:val="8"/>
        <w:snapToGrid w:val="0"/>
        <w:spacing w:beforeLines="0" w:after="0" w:afterLines="0" w:line="360" w:lineRule="auto"/>
        <w:ind w:firstLine="0" w:firstLineChars="0"/>
        <w:rPr>
          <w:rFonts w:hint="default" w:ascii="仿宋" w:hAnsi="仿宋" w:eastAsia="仿宋" w:cs="仿宋"/>
          <w:b/>
          <w:bCs/>
          <w:sz w:val="22"/>
          <w:szCs w:val="22"/>
          <w:lang w:val="en-US" w:eastAsia="zh-CN"/>
        </w:rPr>
      </w:pPr>
      <w:r>
        <w:rPr>
          <w:rFonts w:hint="eastAsia" w:ascii="仿宋" w:hAnsi="仿宋" w:eastAsia="仿宋" w:cs="仿宋"/>
          <w:b/>
          <w:bCs/>
          <w:sz w:val="22"/>
          <w:szCs w:val="22"/>
          <w:lang w:val="en-US" w:eastAsia="zh-CN"/>
        </w:rPr>
        <w:t>10、报价金额自截止报价当天起5个工作日内有效。</w:t>
      </w:r>
    </w:p>
    <w:p>
      <w:pPr>
        <w:tabs>
          <w:tab w:val="left" w:pos="540"/>
        </w:tabs>
        <w:wordWrap w:val="0"/>
        <w:spacing w:before="312" w:beforeLines="100"/>
        <w:jc w:val="right"/>
        <w:rPr>
          <w:rFonts w:hint="eastAsia" w:ascii="仿宋" w:hAnsi="仿宋" w:eastAsia="仿宋" w:cs="仿宋"/>
          <w:b/>
          <w:sz w:val="22"/>
          <w:szCs w:val="22"/>
        </w:rPr>
      </w:pPr>
    </w:p>
    <w:p>
      <w:pPr>
        <w:tabs>
          <w:tab w:val="left" w:pos="540"/>
        </w:tabs>
        <w:wordWrap w:val="0"/>
        <w:spacing w:before="312" w:beforeLines="100"/>
        <w:jc w:val="right"/>
        <w:rPr>
          <w:rFonts w:hint="eastAsia" w:ascii="仿宋" w:hAnsi="仿宋" w:eastAsia="仿宋" w:cs="仿宋"/>
          <w:b/>
          <w:szCs w:val="21"/>
        </w:rPr>
      </w:pPr>
    </w:p>
    <w:p>
      <w:pPr>
        <w:tabs>
          <w:tab w:val="left" w:pos="540"/>
        </w:tabs>
        <w:wordWrap w:val="0"/>
        <w:spacing w:before="0" w:beforeLines="0" w:afterLines="0" w:line="400" w:lineRule="exact"/>
        <w:ind w:firstLine="5279" w:firstLineChars="2504"/>
        <w:jc w:val="both"/>
        <w:rPr>
          <w:rFonts w:hint="eastAsia" w:ascii="仿宋" w:hAnsi="仿宋" w:eastAsia="仿宋" w:cs="仿宋"/>
          <w:b/>
          <w:szCs w:val="21"/>
        </w:rPr>
      </w:pPr>
      <w:r>
        <w:rPr>
          <w:rFonts w:hint="eastAsia" w:ascii="仿宋" w:hAnsi="仿宋" w:eastAsia="仿宋" w:cs="仿宋"/>
          <w:b/>
          <w:szCs w:val="21"/>
        </w:rPr>
        <w:t xml:space="preserve">报价单位： </w:t>
      </w:r>
    </w:p>
    <w:p>
      <w:pPr>
        <w:tabs>
          <w:tab w:val="left" w:pos="540"/>
        </w:tabs>
        <w:wordWrap w:val="0"/>
        <w:spacing w:before="0" w:beforeLines="0" w:afterLines="0" w:line="400" w:lineRule="exact"/>
        <w:ind w:firstLine="5279" w:firstLineChars="2504"/>
        <w:jc w:val="both"/>
        <w:rPr>
          <w:rFonts w:hint="eastAsia" w:ascii="仿宋" w:hAnsi="仿宋" w:eastAsia="仿宋" w:cs="仿宋"/>
          <w:b/>
          <w:szCs w:val="21"/>
        </w:rPr>
      </w:pPr>
      <w:r>
        <w:rPr>
          <w:rFonts w:hint="eastAsia" w:ascii="仿宋" w:hAnsi="仿宋" w:eastAsia="仿宋" w:cs="仿宋"/>
          <w:b/>
          <w:szCs w:val="21"/>
          <w:lang w:eastAsia="zh-CN"/>
        </w:rPr>
        <w:t>联系方式：</w:t>
      </w:r>
      <w:r>
        <w:rPr>
          <w:rFonts w:hint="eastAsia" w:ascii="仿宋" w:hAnsi="仿宋" w:eastAsia="仿宋" w:cs="仿宋"/>
          <w:b/>
          <w:szCs w:val="21"/>
        </w:rPr>
        <w:t xml:space="preserve">                   </w:t>
      </w:r>
    </w:p>
    <w:p>
      <w:pPr>
        <w:pStyle w:val="8"/>
        <w:wordWrap w:val="0"/>
        <w:spacing w:before="0" w:beforeLines="0" w:after="0" w:afterLines="0" w:line="400" w:lineRule="exact"/>
        <w:ind w:firstLine="5279" w:firstLineChars="2504"/>
        <w:jc w:val="both"/>
        <w:rPr>
          <w:rFonts w:hint="eastAsia" w:ascii="仿宋" w:hAnsi="仿宋" w:eastAsia="仿宋" w:cs="仿宋"/>
          <w:szCs w:val="21"/>
        </w:rPr>
      </w:pPr>
      <w:r>
        <w:rPr>
          <w:rFonts w:hint="eastAsia" w:ascii="仿宋" w:hAnsi="仿宋" w:eastAsia="仿宋" w:cs="仿宋"/>
          <w:b/>
          <w:szCs w:val="21"/>
        </w:rPr>
        <w:t xml:space="preserve">报价日期：                    </w:t>
      </w:r>
    </w:p>
    <w:p>
      <w:pPr>
        <w:pStyle w:val="8"/>
        <w:spacing w:before="78" w:after="78"/>
        <w:ind w:firstLine="0" w:firstLineChars="0"/>
        <w:rPr>
          <w:rFonts w:hint="eastAsia" w:ascii="仿宋" w:hAnsi="仿宋" w:eastAsia="仿宋" w:cs="仿宋"/>
        </w:rPr>
      </w:pPr>
    </w:p>
    <w:p>
      <w:pPr>
        <w:jc w:val="left"/>
        <w:rPr>
          <w:rFonts w:hint="eastAsia" w:ascii="仿宋" w:hAnsi="仿宋" w:eastAsia="仿宋" w:cs="仿宋"/>
        </w:rPr>
      </w:pPr>
    </w:p>
    <w:p>
      <w:pPr>
        <w:jc w:val="left"/>
        <w:rPr>
          <w:rFonts w:hint="eastAsia" w:ascii="仿宋" w:hAnsi="仿宋" w:eastAsia="仿宋" w:cs="仿宋"/>
        </w:rPr>
      </w:pPr>
    </w:p>
    <w:p>
      <w:pPr>
        <w:pStyle w:val="8"/>
        <w:ind w:firstLine="0" w:firstLineChars="0"/>
        <w:rPr>
          <w:rFonts w:hint="default" w:ascii="Courier New" w:hAnsi="Courier New" w:eastAsia="宋体" w:cs="Times New Roman"/>
        </w:rPr>
      </w:pPr>
    </w:p>
    <w:p>
      <w:pPr>
        <w:pStyle w:val="2"/>
        <w:ind w:left="0" w:leftChars="0" w:firstLine="0" w:firstLineChars="0"/>
        <w:rPr>
          <w:rFonts w:hint="default" w:ascii="宋体" w:hAnsi="宋体" w:eastAsia="宋体" w:cs="宋体"/>
          <w:spacing w:val="36"/>
          <w:w w:val="105"/>
          <w:sz w:val="23"/>
          <w:szCs w:val="23"/>
        </w:rPr>
      </w:pPr>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3" w:lineRule="auto"/>
      <w:ind w:left="4829"/>
      <w:rPr>
        <w:rFonts w:ascii="宋体" w:hAnsi="宋体" w:eastAsia="宋体" w:cs="宋体"/>
        <w:sz w:val="14"/>
        <w:szCs w:val="14"/>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JmNTA5OWYwMTliNTkxZmYwYTQ3OWRlZjgzNWQxNjQifQ=="/>
  </w:docVars>
  <w:rsids>
    <w:rsidRoot w:val="00E7629F"/>
    <w:rsid w:val="000276A0"/>
    <w:rsid w:val="00177DD0"/>
    <w:rsid w:val="001A15F9"/>
    <w:rsid w:val="001A4E42"/>
    <w:rsid w:val="00307DED"/>
    <w:rsid w:val="00322059"/>
    <w:rsid w:val="00386A33"/>
    <w:rsid w:val="00506351"/>
    <w:rsid w:val="005A6C2A"/>
    <w:rsid w:val="005A6C4B"/>
    <w:rsid w:val="006C2BB9"/>
    <w:rsid w:val="006E4DBD"/>
    <w:rsid w:val="00796EB0"/>
    <w:rsid w:val="007A496F"/>
    <w:rsid w:val="007C61A4"/>
    <w:rsid w:val="00842B9D"/>
    <w:rsid w:val="008578D2"/>
    <w:rsid w:val="008E3EAB"/>
    <w:rsid w:val="009122D1"/>
    <w:rsid w:val="009A4EF1"/>
    <w:rsid w:val="00B15E79"/>
    <w:rsid w:val="00B23A1E"/>
    <w:rsid w:val="00BA6515"/>
    <w:rsid w:val="00BC012D"/>
    <w:rsid w:val="00C862CE"/>
    <w:rsid w:val="00DC0AE4"/>
    <w:rsid w:val="00E31CFC"/>
    <w:rsid w:val="00E7287D"/>
    <w:rsid w:val="00E7629F"/>
    <w:rsid w:val="00E92B87"/>
    <w:rsid w:val="00F20B27"/>
    <w:rsid w:val="00F72067"/>
    <w:rsid w:val="00FA672E"/>
    <w:rsid w:val="00FC63D4"/>
    <w:rsid w:val="00FE2E61"/>
    <w:rsid w:val="052A7E8F"/>
    <w:rsid w:val="06314D8A"/>
    <w:rsid w:val="08615BC6"/>
    <w:rsid w:val="0875303C"/>
    <w:rsid w:val="08BC36FA"/>
    <w:rsid w:val="093D376A"/>
    <w:rsid w:val="0AC4652F"/>
    <w:rsid w:val="0B0E7285"/>
    <w:rsid w:val="0CCE29A0"/>
    <w:rsid w:val="0EE811C9"/>
    <w:rsid w:val="14415BC5"/>
    <w:rsid w:val="17871FA5"/>
    <w:rsid w:val="19A32658"/>
    <w:rsid w:val="1B7F1A25"/>
    <w:rsid w:val="1CBE2964"/>
    <w:rsid w:val="201843A2"/>
    <w:rsid w:val="22871622"/>
    <w:rsid w:val="23D83E1C"/>
    <w:rsid w:val="249B204A"/>
    <w:rsid w:val="266E503D"/>
    <w:rsid w:val="269A68C3"/>
    <w:rsid w:val="26DA5E4E"/>
    <w:rsid w:val="28D507D2"/>
    <w:rsid w:val="28DA4193"/>
    <w:rsid w:val="29A10297"/>
    <w:rsid w:val="2A20023A"/>
    <w:rsid w:val="2A9817DE"/>
    <w:rsid w:val="2C097269"/>
    <w:rsid w:val="2E7966F4"/>
    <w:rsid w:val="2F1321AD"/>
    <w:rsid w:val="2F6869FB"/>
    <w:rsid w:val="314E3D4A"/>
    <w:rsid w:val="35E93297"/>
    <w:rsid w:val="395A4EDE"/>
    <w:rsid w:val="398C68C1"/>
    <w:rsid w:val="39FA369F"/>
    <w:rsid w:val="39FC14BE"/>
    <w:rsid w:val="3A6D60FC"/>
    <w:rsid w:val="3C8E3FDE"/>
    <w:rsid w:val="3E425ED6"/>
    <w:rsid w:val="3E780CFB"/>
    <w:rsid w:val="41436A76"/>
    <w:rsid w:val="444F6984"/>
    <w:rsid w:val="46FF00A1"/>
    <w:rsid w:val="476B50DA"/>
    <w:rsid w:val="48480D7B"/>
    <w:rsid w:val="48A439B8"/>
    <w:rsid w:val="494533A3"/>
    <w:rsid w:val="499E2424"/>
    <w:rsid w:val="49CD7DF3"/>
    <w:rsid w:val="4BCD4180"/>
    <w:rsid w:val="4CDA5F9C"/>
    <w:rsid w:val="4E2849BE"/>
    <w:rsid w:val="4EBC549E"/>
    <w:rsid w:val="4FD35D5D"/>
    <w:rsid w:val="50AB15C1"/>
    <w:rsid w:val="516A1B23"/>
    <w:rsid w:val="53975AA6"/>
    <w:rsid w:val="541878EB"/>
    <w:rsid w:val="59AC7881"/>
    <w:rsid w:val="5BBB7CD0"/>
    <w:rsid w:val="5C761E49"/>
    <w:rsid w:val="5C8007CB"/>
    <w:rsid w:val="5D1C63BF"/>
    <w:rsid w:val="5DA81C8A"/>
    <w:rsid w:val="5EEF4522"/>
    <w:rsid w:val="61514C05"/>
    <w:rsid w:val="62095065"/>
    <w:rsid w:val="6215383C"/>
    <w:rsid w:val="645F2884"/>
    <w:rsid w:val="64E6591D"/>
    <w:rsid w:val="6541007D"/>
    <w:rsid w:val="66F275EF"/>
    <w:rsid w:val="67436CD9"/>
    <w:rsid w:val="68083E36"/>
    <w:rsid w:val="68244A56"/>
    <w:rsid w:val="68D31CD7"/>
    <w:rsid w:val="69580517"/>
    <w:rsid w:val="6B320DB0"/>
    <w:rsid w:val="6C635C7F"/>
    <w:rsid w:val="6D4718E5"/>
    <w:rsid w:val="6D7768F5"/>
    <w:rsid w:val="6E2C0D1C"/>
    <w:rsid w:val="6EAC1993"/>
    <w:rsid w:val="710841D5"/>
    <w:rsid w:val="73E301B0"/>
    <w:rsid w:val="78816706"/>
    <w:rsid w:val="78A42130"/>
    <w:rsid w:val="7ABA5974"/>
    <w:rsid w:val="7BA34762"/>
    <w:rsid w:val="7C172272"/>
    <w:rsid w:val="7F502E84"/>
    <w:rsid w:val="7F8454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qFormat="1" w:unhideWhenUsed="0" w:uiPriority="0" w:semiHidden="0"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qFormat="1" w:unhideWhenUsed="0" w:uiPriority="0" w:semiHidden="0"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1">
    <w:name w:val="Default Paragraph Font"/>
    <w:autoRedefine/>
    <w:semiHidden/>
    <w:unhideWhenUsed/>
    <w:qFormat/>
    <w:uiPriority w:val="1"/>
  </w:style>
  <w:style w:type="table" w:default="1" w:styleId="9">
    <w:name w:val="Normal Table"/>
    <w:autoRedefine/>
    <w:semiHidden/>
    <w:unhideWhenUsed/>
    <w:qFormat/>
    <w:uiPriority w:val="99"/>
    <w:tblPr>
      <w:tblCellMar>
        <w:top w:w="0" w:type="dxa"/>
        <w:left w:w="108" w:type="dxa"/>
        <w:bottom w:w="0" w:type="dxa"/>
        <w:right w:w="108" w:type="dxa"/>
      </w:tblCellMar>
    </w:tblPr>
  </w:style>
  <w:style w:type="paragraph" w:styleId="2">
    <w:name w:val="Normal Indent"/>
    <w:basedOn w:val="1"/>
    <w:autoRedefine/>
    <w:qFormat/>
    <w:uiPriority w:val="0"/>
    <w:pPr>
      <w:ind w:firstLine="420" w:firstLineChars="200"/>
    </w:pPr>
    <w:rPr>
      <w:kern w:val="0"/>
      <w:sz w:val="20"/>
      <w:szCs w:val="21"/>
    </w:rPr>
  </w:style>
  <w:style w:type="paragraph" w:styleId="3">
    <w:name w:val="Body Text"/>
    <w:basedOn w:val="1"/>
    <w:next w:val="4"/>
    <w:autoRedefine/>
    <w:unhideWhenUsed/>
    <w:qFormat/>
    <w:uiPriority w:val="0"/>
    <w:pPr>
      <w:spacing w:after="120"/>
    </w:pPr>
  </w:style>
  <w:style w:type="paragraph" w:styleId="4">
    <w:name w:val="Body Text 2"/>
    <w:basedOn w:val="1"/>
    <w:autoRedefine/>
    <w:qFormat/>
    <w:uiPriority w:val="0"/>
    <w:pPr>
      <w:jc w:val="center"/>
    </w:pPr>
  </w:style>
  <w:style w:type="paragraph" w:styleId="5">
    <w:name w:val="endnote text"/>
    <w:basedOn w:val="1"/>
    <w:autoRedefine/>
    <w:qFormat/>
    <w:uiPriority w:val="0"/>
    <w:pPr>
      <w:snapToGrid w:val="0"/>
      <w:jc w:val="left"/>
    </w:pPr>
    <w:rPr>
      <w:rFonts w:ascii="Calibri" w:hAnsi="Calibri" w:cs="Calibri"/>
      <w:sz w:val="18"/>
      <w:szCs w:val="18"/>
    </w:rPr>
  </w:style>
  <w:style w:type="paragraph" w:styleId="6">
    <w:name w:val="footer"/>
    <w:basedOn w:val="1"/>
    <w:link w:val="14"/>
    <w:autoRedefine/>
    <w:unhideWhenUsed/>
    <w:qFormat/>
    <w:uiPriority w:val="99"/>
    <w:pPr>
      <w:tabs>
        <w:tab w:val="center" w:pos="4153"/>
        <w:tab w:val="right" w:pos="8306"/>
      </w:tabs>
      <w:snapToGrid w:val="0"/>
      <w:jc w:val="left"/>
    </w:pPr>
    <w:rPr>
      <w:sz w:val="18"/>
      <w:szCs w:val="18"/>
    </w:rPr>
  </w:style>
  <w:style w:type="paragraph" w:styleId="7">
    <w:name w:val="header"/>
    <w:basedOn w:val="1"/>
    <w:link w:val="13"/>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Body Text First Indent"/>
    <w:basedOn w:val="3"/>
    <w:autoRedefine/>
    <w:qFormat/>
    <w:uiPriority w:val="0"/>
    <w:pPr>
      <w:spacing w:beforeLines="25" w:afterLines="25" w:line="0" w:lineRule="atLeast"/>
      <w:ind w:firstLine="420" w:firstLineChars="100"/>
    </w:pPr>
    <w:rPr>
      <w:rFonts w:ascii="Courier New" w:hAnsi="Courier New"/>
      <w:kern w:val="0"/>
      <w:szCs w:val="20"/>
    </w:rPr>
  </w:style>
  <w:style w:type="table" w:styleId="10">
    <w:name w:val="Table Grid"/>
    <w:basedOn w:val="9"/>
    <w:autoRedefine/>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Emphasis"/>
    <w:basedOn w:val="11"/>
    <w:autoRedefine/>
    <w:qFormat/>
    <w:uiPriority w:val="20"/>
    <w:rPr>
      <w:i/>
    </w:rPr>
  </w:style>
  <w:style w:type="character" w:customStyle="1" w:styleId="13">
    <w:name w:val="页眉 字符"/>
    <w:basedOn w:val="11"/>
    <w:link w:val="7"/>
    <w:autoRedefine/>
    <w:qFormat/>
    <w:uiPriority w:val="99"/>
    <w:rPr>
      <w:sz w:val="18"/>
      <w:szCs w:val="18"/>
    </w:rPr>
  </w:style>
  <w:style w:type="character" w:customStyle="1" w:styleId="14">
    <w:name w:val="页脚 字符"/>
    <w:basedOn w:val="11"/>
    <w:link w:val="6"/>
    <w:autoRedefine/>
    <w:qFormat/>
    <w:uiPriority w:val="99"/>
    <w:rPr>
      <w:sz w:val="18"/>
      <w:szCs w:val="18"/>
    </w:rPr>
  </w:style>
  <w:style w:type="character" w:customStyle="1" w:styleId="15">
    <w:name w:val="font61"/>
    <w:basedOn w:val="11"/>
    <w:autoRedefine/>
    <w:qFormat/>
    <w:uiPriority w:val="0"/>
    <w:rPr>
      <w:rFonts w:hint="eastAsia" w:ascii="宋体" w:hAnsi="宋体" w:eastAsia="宋体" w:cs="宋体"/>
      <w:color w:val="000000"/>
      <w:sz w:val="24"/>
      <w:szCs w:val="24"/>
      <w:u w:val="single"/>
    </w:rPr>
  </w:style>
  <w:style w:type="character" w:customStyle="1" w:styleId="16">
    <w:name w:val="font21"/>
    <w:basedOn w:val="11"/>
    <w:autoRedefine/>
    <w:qFormat/>
    <w:uiPriority w:val="0"/>
    <w:rPr>
      <w:rFonts w:hint="eastAsia" w:ascii="宋体" w:hAnsi="宋体" w:eastAsia="宋体" w:cs="宋体"/>
      <w:color w:val="000000"/>
      <w:sz w:val="24"/>
      <w:szCs w:val="24"/>
      <w:u w:val="none"/>
    </w:rPr>
  </w:style>
  <w:style w:type="character" w:customStyle="1" w:styleId="17">
    <w:name w:val="font01"/>
    <w:basedOn w:val="11"/>
    <w:autoRedefine/>
    <w:qFormat/>
    <w:uiPriority w:val="0"/>
    <w:rPr>
      <w:rFonts w:hint="eastAsia" w:ascii="宋体" w:hAnsi="宋体" w:eastAsia="宋体" w:cs="宋体"/>
      <w:color w:val="000000"/>
      <w:sz w:val="24"/>
      <w:szCs w:val="24"/>
      <w:u w:val="single"/>
    </w:rPr>
  </w:style>
  <w:style w:type="character" w:customStyle="1" w:styleId="18">
    <w:name w:val="font11"/>
    <w:basedOn w:val="11"/>
    <w:autoRedefine/>
    <w:qFormat/>
    <w:uiPriority w:val="0"/>
    <w:rPr>
      <w:rFonts w:hint="eastAsia" w:ascii="宋体" w:hAnsi="宋体" w:eastAsia="宋体" w:cs="宋体"/>
      <w:color w:val="000000"/>
      <w:sz w:val="24"/>
      <w:szCs w:val="24"/>
      <w:u w:val="none"/>
    </w:rPr>
  </w:style>
  <w:style w:type="paragraph" w:customStyle="1" w:styleId="19">
    <w:name w:val="样式1"/>
    <w:basedOn w:val="7"/>
    <w:autoRedefine/>
    <w:qFormat/>
    <w:uiPriority w:val="0"/>
    <w:pPr>
      <w:pBdr>
        <w:bottom w:val="none" w:color="auto" w:sz="0" w:space="0"/>
      </w:pBdr>
      <w:jc w:val="both"/>
    </w:pPr>
    <w:rPr>
      <w:sz w:val="24"/>
    </w:rPr>
  </w:style>
  <w:style w:type="paragraph" w:customStyle="1" w:styleId="20">
    <w:name w:val="列出段落1"/>
    <w:basedOn w:val="1"/>
    <w:autoRedefine/>
    <w:qFormat/>
    <w:uiPriority w:val="34"/>
    <w:pPr>
      <w:ind w:firstLine="420" w:firstLineChars="200"/>
    </w:pPr>
    <w:rPr>
      <w:rFonts w:ascii="Calibri" w:hAnsi="Calibri"/>
      <w:sz w:val="24"/>
    </w:rPr>
  </w:style>
  <w:style w:type="paragraph" w:customStyle="1" w:styleId="21">
    <w:name w:val="表格文字"/>
    <w:basedOn w:val="1"/>
    <w:autoRedefine/>
    <w:qFormat/>
    <w:uiPriority w:val="0"/>
    <w:pPr>
      <w:spacing w:before="25" w:after="25"/>
      <w:jc w:val="left"/>
    </w:pPr>
    <w:rPr>
      <w:rFonts w:ascii="Times New Roman" w:hAnsi="Times New Roman"/>
      <w:bCs/>
      <w:spacing w:val="10"/>
      <w:kern w:val="0"/>
      <w:szCs w:val="20"/>
    </w:rPr>
  </w:style>
  <w:style w:type="character" w:customStyle="1" w:styleId="22">
    <w:name w:val="font41"/>
    <w:basedOn w:val="11"/>
    <w:autoRedefine/>
    <w:qFormat/>
    <w:uiPriority w:val="0"/>
    <w:rPr>
      <w:rFonts w:hint="eastAsia" w:ascii="宋体" w:hAnsi="宋体" w:eastAsia="宋体" w:cs="宋体"/>
      <w:b/>
      <w:bCs/>
      <w:color w:val="000000"/>
      <w:sz w:val="22"/>
      <w:szCs w:val="22"/>
      <w:u w:val="single"/>
    </w:rPr>
  </w:style>
  <w:style w:type="table" w:customStyle="1" w:styleId="23">
    <w:name w:val="Table Normal"/>
    <w:autoRedefine/>
    <w:semiHidden/>
    <w:unhideWhenUsed/>
    <w:qFormat/>
    <w:uiPriority w:val="0"/>
    <w:tblPr>
      <w:tblCellMar>
        <w:top w:w="0" w:type="dxa"/>
        <w:left w:w="0" w:type="dxa"/>
        <w:bottom w:w="0" w:type="dxa"/>
        <w:right w:w="0" w:type="dxa"/>
      </w:tblCellMar>
    </w:tblPr>
  </w:style>
  <w:style w:type="character" w:customStyle="1" w:styleId="24">
    <w:name w:val="font51"/>
    <w:basedOn w:val="11"/>
    <w:autoRedefine/>
    <w:qFormat/>
    <w:uiPriority w:val="0"/>
    <w:rPr>
      <w:rFonts w:hint="eastAsia" w:ascii="宋体" w:hAnsi="宋体" w:eastAsia="宋体" w:cs="宋体"/>
      <w:color w:val="313131"/>
      <w:sz w:val="21"/>
      <w:szCs w:val="21"/>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2</Pages>
  <Words>867</Words>
  <Characters>899</Characters>
  <Lines>11</Lines>
  <Paragraphs>3</Paragraphs>
  <TotalTime>36</TotalTime>
  <ScaleCrop>false</ScaleCrop>
  <LinksUpToDate>false</LinksUpToDate>
  <CharactersWithSpaces>1042</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2017-11-13T03:24:00Z</dcterms:created>
  <dc:creator>Compass</dc:creator>
  <cp:lastModifiedBy>Karen Ho</cp:lastModifiedBy>
  <dcterms:modified xsi:type="dcterms:W3CDTF">2024-12-09T04:04:09Z</dcterms:modified>
  <dc:title>佛山市新城物业发展有限公司邀请报价函</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91A5BCDDB9FF41CFA4AECCA810A28B99_13</vt:lpwstr>
  </property>
</Properties>
</file>